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before="312" w:beforeLines="100"/>
        <w:jc w:val="center"/>
        <w:rPr>
          <w:rFonts w:ascii="黑体" w:hAnsi="宋体" w:eastAsia="黑体"/>
          <w:b/>
          <w:sz w:val="36"/>
          <w:szCs w:val="36"/>
        </w:rPr>
      </w:pPr>
      <w:r>
        <w:rPr>
          <w:rFonts w:hint="eastAsia" w:ascii="黑体" w:hAnsi="宋体" w:eastAsia="黑体"/>
          <w:b/>
          <w:sz w:val="36"/>
          <w:szCs w:val="36"/>
        </w:rPr>
        <w:t>关于招募“加油计划”执行机构</w:t>
      </w:r>
    </w:p>
    <w:p>
      <w:pPr>
        <w:widowControl/>
        <w:adjustRightInd w:val="0"/>
        <w:snapToGrid w:val="0"/>
        <w:jc w:val="center"/>
        <w:rPr>
          <w:rFonts w:ascii="黑体" w:hAnsi="宋体" w:eastAsia="黑体"/>
          <w:b/>
          <w:sz w:val="36"/>
          <w:szCs w:val="36"/>
        </w:rPr>
      </w:pPr>
      <w:r>
        <w:rPr>
          <w:rFonts w:hint="eastAsia" w:ascii="黑体" w:hAnsi="宋体" w:eastAsia="黑体"/>
          <w:b/>
          <w:sz w:val="36"/>
          <w:szCs w:val="36"/>
        </w:rPr>
        <w:t>的申请指南</w:t>
      </w:r>
    </w:p>
    <w:p>
      <w:pPr>
        <w:adjustRightInd w:val="0"/>
        <w:snapToGrid w:val="0"/>
        <w:spacing w:line="360" w:lineRule="auto"/>
        <w:ind w:firstLine="551" w:firstLineChars="196"/>
        <w:rPr>
          <w:rFonts w:ascii="黑体" w:hAnsi="宋体" w:eastAsia="黑体"/>
          <w:b/>
          <w:sz w:val="28"/>
          <w:szCs w:val="28"/>
        </w:rPr>
      </w:pPr>
      <w:r>
        <w:rPr>
          <w:rFonts w:hint="eastAsia" w:ascii="黑体" w:hAnsi="宋体" w:eastAsia="黑体"/>
          <w:b/>
          <w:sz w:val="28"/>
          <w:szCs w:val="28"/>
        </w:rPr>
        <w:t>一、项目背景</w:t>
      </w:r>
    </w:p>
    <w:p>
      <w:pPr>
        <w:adjustRightInd w:val="0"/>
        <w:snapToGrid w:val="0"/>
        <w:spacing w:line="360" w:lineRule="auto"/>
        <w:ind w:firstLine="560" w:firstLineChars="200"/>
        <w:rPr>
          <w:rFonts w:cs="Times New Roman" w:asciiTheme="minorEastAsia" w:hAnsiTheme="minorEastAsia"/>
          <w:sz w:val="28"/>
          <w:szCs w:val="28"/>
        </w:rPr>
      </w:pPr>
      <w:r>
        <w:rPr>
          <w:rFonts w:hint="eastAsia" w:cs="Times New Roman" w:asciiTheme="minorEastAsia" w:hAnsiTheme="minorEastAsia"/>
          <w:sz w:val="28"/>
          <w:szCs w:val="28"/>
        </w:rPr>
        <w:t>“加油计划”是中国扶贫基金会推出的一项推动贫困地区的农村小学生发展，促进城乡教育公平的公益项目，旨在通过持续性的关爱和支持，为贫困地区的农村小学生提供条件改善、能力提升等方面的支持，助力贫困地区农村小学生全面发展。</w:t>
      </w:r>
    </w:p>
    <w:p>
      <w:pPr>
        <w:adjustRightInd w:val="0"/>
        <w:snapToGrid w:val="0"/>
        <w:spacing w:line="360" w:lineRule="auto"/>
        <w:ind w:firstLine="560" w:firstLineChars="200"/>
        <w:rPr>
          <w:rFonts w:cs="Times New Roman" w:asciiTheme="minorEastAsia" w:hAnsiTheme="minorEastAsia"/>
          <w:sz w:val="28"/>
          <w:szCs w:val="28"/>
        </w:rPr>
      </w:pPr>
      <w:r>
        <w:rPr>
          <w:rFonts w:hint="eastAsia" w:cs="Times New Roman" w:asciiTheme="minorEastAsia" w:hAnsiTheme="minorEastAsia"/>
          <w:sz w:val="28"/>
          <w:szCs w:val="28"/>
        </w:rPr>
        <w:t>现计划在</w:t>
      </w:r>
      <w:r>
        <w:rPr>
          <w:rFonts w:hint="eastAsia" w:cs="Times New Roman" w:asciiTheme="minorEastAsia" w:hAnsiTheme="minorEastAsia"/>
          <w:sz w:val="28"/>
          <w:szCs w:val="28"/>
          <w:lang w:eastAsia="zh-CN"/>
        </w:rPr>
        <w:t>贵州省毕节市威宁县</w:t>
      </w:r>
      <w:r>
        <w:rPr>
          <w:rFonts w:hint="eastAsia" w:cs="Times New Roman" w:asciiTheme="minorEastAsia" w:hAnsiTheme="minorEastAsia"/>
          <w:sz w:val="28"/>
          <w:szCs w:val="28"/>
          <w:lang w:val="en-US" w:eastAsia="zh-CN"/>
        </w:rPr>
        <w:t>18</w:t>
      </w:r>
      <w:r>
        <w:rPr>
          <w:rFonts w:hint="eastAsia" w:cs="Times New Roman" w:asciiTheme="minorEastAsia" w:hAnsiTheme="minorEastAsia"/>
          <w:sz w:val="28"/>
          <w:szCs w:val="28"/>
          <w:lang w:eastAsia="zh-CN"/>
        </w:rPr>
        <w:t>所学校、云南省曲靖市会泽县</w:t>
      </w:r>
      <w:r>
        <w:rPr>
          <w:rFonts w:hint="eastAsia" w:cs="Times New Roman" w:asciiTheme="minorEastAsia" w:hAnsiTheme="minorEastAsia"/>
          <w:sz w:val="28"/>
          <w:szCs w:val="28"/>
          <w:lang w:val="en-US" w:eastAsia="zh-CN"/>
        </w:rPr>
        <w:t>45</w:t>
      </w:r>
      <w:r>
        <w:rPr>
          <w:rFonts w:hint="eastAsia" w:cs="Times New Roman" w:asciiTheme="minorEastAsia" w:hAnsiTheme="minorEastAsia"/>
          <w:sz w:val="28"/>
          <w:szCs w:val="28"/>
          <w:lang w:eastAsia="zh-CN"/>
        </w:rPr>
        <w:t>所学校、云南省</w:t>
      </w:r>
      <w:r>
        <w:rPr>
          <w:rFonts w:hint="eastAsia" w:cs="Times New Roman" w:asciiTheme="minorEastAsia" w:hAnsiTheme="minorEastAsia"/>
          <w:sz w:val="28"/>
          <w:szCs w:val="28"/>
          <w:lang w:val="en-US" w:eastAsia="zh-CN"/>
        </w:rPr>
        <w:t>昭通</w:t>
      </w:r>
      <w:r>
        <w:rPr>
          <w:rFonts w:hint="eastAsia" w:cs="Times New Roman" w:asciiTheme="minorEastAsia" w:hAnsiTheme="minorEastAsia"/>
          <w:sz w:val="28"/>
          <w:szCs w:val="28"/>
          <w:lang w:eastAsia="zh-CN"/>
        </w:rPr>
        <w:t>市</w:t>
      </w:r>
      <w:r>
        <w:rPr>
          <w:rFonts w:hint="eastAsia" w:cs="Times New Roman" w:asciiTheme="minorEastAsia" w:hAnsiTheme="minorEastAsia"/>
          <w:sz w:val="28"/>
          <w:szCs w:val="28"/>
          <w:lang w:val="en-US" w:eastAsia="zh-CN"/>
        </w:rPr>
        <w:t>镇雄</w:t>
      </w:r>
      <w:r>
        <w:rPr>
          <w:rFonts w:hint="eastAsia" w:cs="Times New Roman" w:asciiTheme="minorEastAsia" w:hAnsiTheme="minorEastAsia"/>
          <w:sz w:val="28"/>
          <w:szCs w:val="28"/>
          <w:lang w:eastAsia="zh-CN"/>
        </w:rPr>
        <w:t>县</w:t>
      </w:r>
      <w:r>
        <w:rPr>
          <w:rFonts w:hint="eastAsia" w:cs="Times New Roman" w:asciiTheme="minorEastAsia" w:hAnsiTheme="minorEastAsia"/>
          <w:sz w:val="28"/>
          <w:szCs w:val="28"/>
          <w:lang w:val="en-US" w:eastAsia="zh-CN"/>
        </w:rPr>
        <w:t>45</w:t>
      </w:r>
      <w:r>
        <w:rPr>
          <w:rFonts w:hint="eastAsia" w:cs="Times New Roman" w:asciiTheme="minorEastAsia" w:hAnsiTheme="minorEastAsia"/>
          <w:sz w:val="28"/>
          <w:szCs w:val="28"/>
          <w:lang w:eastAsia="zh-CN"/>
        </w:rPr>
        <w:t>所学校、</w:t>
      </w:r>
      <w:r>
        <w:rPr>
          <w:rFonts w:hint="eastAsia" w:cs="Times New Roman" w:asciiTheme="minorEastAsia" w:hAnsiTheme="minorEastAsia"/>
          <w:sz w:val="28"/>
          <w:szCs w:val="28"/>
          <w:lang w:val="en-US" w:eastAsia="zh-CN"/>
        </w:rPr>
        <w:t>贵州省毕节市赫章县30所学校</w:t>
      </w:r>
      <w:r>
        <w:rPr>
          <w:rFonts w:hint="eastAsia" w:cs="Times New Roman" w:asciiTheme="minorEastAsia" w:hAnsiTheme="minorEastAsia"/>
          <w:sz w:val="28"/>
          <w:szCs w:val="28"/>
        </w:rPr>
        <w:t>开展</w:t>
      </w:r>
      <w:r>
        <w:rPr>
          <w:rFonts w:hint="eastAsia" w:cs="Times New Roman" w:asciiTheme="minorEastAsia" w:hAnsiTheme="minorEastAsia"/>
          <w:sz w:val="28"/>
          <w:szCs w:val="28"/>
          <w:lang w:val="en-US" w:eastAsia="zh-CN"/>
        </w:rPr>
        <w:t>加油课堂软件板块（参考工作任务书1）</w:t>
      </w:r>
      <w:r>
        <w:rPr>
          <w:rFonts w:hint="eastAsia" w:cs="Times New Roman" w:asciiTheme="minorEastAsia" w:hAnsiTheme="minorEastAsia"/>
          <w:sz w:val="28"/>
          <w:szCs w:val="28"/>
        </w:rPr>
        <w:t>，在当地县教育局的支持下，主要通过组织项目学校教师参加加油课程培训，由他们为学生提供更好的素质教育课程。中国扶贫基金会将与社会公益组织合作，为加油计划的实施提供项目管理及技术督导等支持。</w:t>
      </w:r>
    </w:p>
    <w:p>
      <w:pPr>
        <w:adjustRightInd w:val="0"/>
        <w:snapToGrid w:val="0"/>
        <w:spacing w:line="360" w:lineRule="auto"/>
        <w:ind w:firstLine="560" w:firstLineChars="200"/>
        <w:rPr>
          <w:rFonts w:hint="eastAsia" w:cs="Times New Roman" w:asciiTheme="minorEastAsia" w:hAnsiTheme="minorEastAsia"/>
          <w:sz w:val="28"/>
          <w:szCs w:val="28"/>
          <w:lang w:val="en-US" w:eastAsia="zh-CN"/>
        </w:rPr>
      </w:pPr>
      <w:r>
        <w:rPr>
          <w:rFonts w:hint="eastAsia" w:cs="Times New Roman" w:asciiTheme="minorEastAsia" w:hAnsiTheme="minorEastAsia"/>
          <w:sz w:val="28"/>
          <w:szCs w:val="28"/>
          <w:lang w:val="en-US" w:eastAsia="zh-CN"/>
        </w:rPr>
        <w:t>为此，中国扶贫基金会计划招募2-3家社会组织作为贵州威宁加油课堂、云南会泽加油课堂、云南镇雄加油课堂、贵州赫章加油课堂</w:t>
      </w:r>
      <w:bookmarkStart w:id="0" w:name="_GoBack"/>
      <w:bookmarkEnd w:id="0"/>
      <w:r>
        <w:rPr>
          <w:rFonts w:hint="eastAsia" w:cs="Times New Roman" w:asciiTheme="minorEastAsia" w:hAnsiTheme="minorEastAsia"/>
          <w:sz w:val="28"/>
          <w:szCs w:val="28"/>
          <w:lang w:val="en-US" w:eastAsia="zh-CN"/>
        </w:rPr>
        <w:t>的执行机构，具体负责组织加油计划相关活动的组织，与CFPA一起探索有序、有效和可持续的贫困地区青少年成长发展的长效机制。</w:t>
      </w:r>
    </w:p>
    <w:p>
      <w:pPr>
        <w:adjustRightInd w:val="0"/>
        <w:snapToGrid w:val="0"/>
        <w:spacing w:line="360" w:lineRule="auto"/>
        <w:ind w:firstLine="560" w:firstLineChars="200"/>
        <w:rPr>
          <w:rFonts w:ascii="微软雅黑" w:hAnsi="微软雅黑" w:eastAsia="微软雅黑"/>
          <w:b/>
          <w:sz w:val="28"/>
          <w:szCs w:val="28"/>
        </w:rPr>
      </w:pPr>
      <w:r>
        <w:rPr>
          <w:rFonts w:hint="eastAsia" w:ascii="微软雅黑" w:hAnsi="微软雅黑" w:eastAsia="微软雅黑"/>
          <w:b/>
          <w:sz w:val="28"/>
          <w:szCs w:val="28"/>
        </w:rPr>
        <w:t>二、项目目标</w:t>
      </w:r>
    </w:p>
    <w:p>
      <w:pPr>
        <w:adjustRightInd w:val="0"/>
        <w:snapToGrid w:val="0"/>
        <w:spacing w:line="360" w:lineRule="auto"/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1、通过加油计划项目的执行，</w:t>
      </w:r>
      <w:r>
        <w:rPr>
          <w:rFonts w:hint="eastAsia" w:asciiTheme="minorEastAsia" w:hAnsiTheme="minorEastAsia"/>
          <w:sz w:val="28"/>
          <w:szCs w:val="28"/>
          <w:lang w:eastAsia="zh-CN"/>
        </w:rPr>
        <w:t>威宁</w:t>
      </w:r>
      <w:r>
        <w:rPr>
          <w:rFonts w:hint="eastAsia" w:asciiTheme="minorEastAsia" w:hAnsiTheme="minorEastAsia"/>
          <w:sz w:val="28"/>
          <w:szCs w:val="28"/>
        </w:rPr>
        <w:t>县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18</w:t>
      </w:r>
      <w:r>
        <w:rPr>
          <w:rFonts w:hint="eastAsia" w:asciiTheme="minorEastAsia" w:hAnsiTheme="minorEastAsia"/>
          <w:sz w:val="28"/>
          <w:szCs w:val="28"/>
        </w:rPr>
        <w:t>所项目小学、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会泽县45所项目小学、镇雄县45所项目小学、赫章县30所项目小学</w:t>
      </w:r>
      <w:r>
        <w:rPr>
          <w:rFonts w:hint="eastAsia" w:asciiTheme="minorEastAsia" w:hAnsiTheme="minorEastAsia"/>
          <w:sz w:val="28"/>
          <w:szCs w:val="28"/>
        </w:rPr>
        <w:t>将</w:t>
      </w:r>
      <w:r>
        <w:rPr>
          <w:rFonts w:hint="eastAsia" w:ascii="宋体" w:hAnsi="宋体"/>
          <w:sz w:val="28"/>
          <w:szCs w:val="28"/>
        </w:rPr>
        <w:t>在</w:t>
      </w:r>
      <w:r>
        <w:rPr>
          <w:rFonts w:hint="eastAsia" w:ascii="宋体" w:hAnsi="宋体"/>
          <w:sz w:val="28"/>
          <w:szCs w:val="28"/>
          <w:lang w:val="en-US" w:eastAsia="zh-CN"/>
        </w:rPr>
        <w:t>建设性</w:t>
      </w:r>
      <w:r>
        <w:rPr>
          <w:rFonts w:hint="eastAsia" w:ascii="宋体" w:hAnsi="宋体"/>
          <w:sz w:val="28"/>
          <w:szCs w:val="28"/>
        </w:rPr>
        <w:t>交流能力、自尊自信、耐挫力、团队合作、创造力等五个方面的能力得到提升；</w:t>
      </w:r>
    </w:p>
    <w:p>
      <w:pPr>
        <w:adjustRightInd w:val="0"/>
        <w:snapToGrid w:val="0"/>
        <w:spacing w:line="360" w:lineRule="auto"/>
        <w:ind w:firstLine="573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2</w:t>
      </w:r>
      <w:r>
        <w:rPr>
          <w:rFonts w:hint="eastAsia" w:ascii="宋体" w:hAnsi="宋体"/>
          <w:sz w:val="28"/>
          <w:szCs w:val="28"/>
        </w:rPr>
        <w:t>、推动项目作为学校教育课程的有效补充，建立简单易行、有效持续的儿童健康成长机制；</w:t>
      </w:r>
    </w:p>
    <w:p>
      <w:pPr>
        <w:adjustRightInd w:val="0"/>
        <w:snapToGrid w:val="0"/>
        <w:spacing w:before="156" w:beforeLines="50" w:line="360" w:lineRule="auto"/>
        <w:ind w:firstLine="551" w:firstLineChars="196"/>
        <w:rPr>
          <w:rFonts w:ascii="黑体" w:hAnsi="宋体" w:eastAsia="黑体"/>
          <w:b/>
          <w:sz w:val="28"/>
          <w:szCs w:val="28"/>
        </w:rPr>
      </w:pPr>
      <w:r>
        <w:rPr>
          <w:rFonts w:hint="eastAsia" w:ascii="黑体" w:hAnsi="宋体" w:eastAsia="黑体"/>
          <w:b/>
          <w:sz w:val="28"/>
          <w:szCs w:val="28"/>
        </w:rPr>
        <w:t>三、项目实施区域</w:t>
      </w:r>
    </w:p>
    <w:p>
      <w:pPr>
        <w:adjustRightInd w:val="0"/>
        <w:snapToGrid w:val="0"/>
        <w:spacing w:line="360" w:lineRule="auto"/>
        <w:ind w:left="573"/>
        <w:rPr>
          <w:rFonts w:hint="eastAsia" w:ascii="宋体" w:hAnsi="宋体"/>
          <w:sz w:val="28"/>
          <w:szCs w:val="28"/>
          <w:lang w:val="en-US" w:eastAsia="zh-CN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加油课堂软件执行：</w:t>
      </w:r>
      <w:r>
        <w:rPr>
          <w:rFonts w:hint="eastAsia" w:ascii="宋体" w:hAnsi="宋体"/>
          <w:sz w:val="28"/>
          <w:szCs w:val="28"/>
        </w:rPr>
        <w:t>贵州省毕节市</w:t>
      </w:r>
      <w:r>
        <w:rPr>
          <w:rFonts w:hint="eastAsia" w:ascii="宋体" w:hAnsi="宋体"/>
          <w:sz w:val="28"/>
          <w:szCs w:val="28"/>
          <w:lang w:eastAsia="zh-CN"/>
        </w:rPr>
        <w:t>威宁</w:t>
      </w:r>
      <w:r>
        <w:rPr>
          <w:rFonts w:hint="eastAsia" w:ascii="宋体" w:hAnsi="宋体"/>
          <w:sz w:val="28"/>
          <w:szCs w:val="28"/>
        </w:rPr>
        <w:t>县</w:t>
      </w:r>
      <w:r>
        <w:rPr>
          <w:rFonts w:hint="eastAsia" w:ascii="宋体" w:hAnsi="宋体"/>
          <w:sz w:val="28"/>
          <w:szCs w:val="28"/>
          <w:lang w:eastAsia="zh-CN"/>
        </w:rPr>
        <w:t>、</w:t>
      </w:r>
      <w:r>
        <w:rPr>
          <w:rFonts w:hint="eastAsia" w:ascii="宋体" w:hAnsi="宋体"/>
          <w:sz w:val="28"/>
          <w:szCs w:val="28"/>
          <w:lang w:val="en-US" w:eastAsia="zh-CN"/>
        </w:rPr>
        <w:t>云南省曲靖市会泽县、云南省昭通市镇雄县、贵州省毕节市赫章县</w:t>
      </w:r>
    </w:p>
    <w:p>
      <w:pPr>
        <w:adjustRightInd w:val="0"/>
        <w:snapToGrid w:val="0"/>
        <w:spacing w:before="156" w:beforeLines="50" w:line="360" w:lineRule="auto"/>
        <w:ind w:firstLine="551" w:firstLineChars="196"/>
        <w:rPr>
          <w:rFonts w:ascii="黑体" w:hAnsi="宋体" w:eastAsia="黑体"/>
          <w:b/>
          <w:sz w:val="28"/>
          <w:szCs w:val="28"/>
        </w:rPr>
      </w:pPr>
      <w:r>
        <w:rPr>
          <w:rFonts w:hint="eastAsia" w:ascii="黑体" w:hAnsi="宋体" w:eastAsia="黑体"/>
          <w:b/>
          <w:sz w:val="28"/>
          <w:szCs w:val="28"/>
        </w:rPr>
        <w:t>四、项目周期</w:t>
      </w:r>
    </w:p>
    <w:p>
      <w:pPr>
        <w:adjustRightInd w:val="0"/>
        <w:snapToGrid w:val="0"/>
        <w:spacing w:line="360" w:lineRule="auto"/>
        <w:ind w:firstLine="573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加油课堂软件执行：威宁</w:t>
      </w:r>
      <w:r>
        <w:rPr>
          <w:rFonts w:hint="eastAsia" w:ascii="宋体" w:hAnsi="宋体"/>
          <w:sz w:val="28"/>
          <w:szCs w:val="28"/>
        </w:rPr>
        <w:t>项目周期为</w:t>
      </w:r>
      <w:r>
        <w:rPr>
          <w:rFonts w:hint="eastAsia" w:ascii="宋体" w:hAnsi="宋体"/>
          <w:sz w:val="28"/>
          <w:szCs w:val="28"/>
          <w:lang w:val="en-US" w:eastAsia="zh-CN"/>
        </w:rPr>
        <w:t>1</w:t>
      </w:r>
      <w:r>
        <w:rPr>
          <w:rFonts w:hint="eastAsia" w:ascii="宋体" w:hAnsi="宋体"/>
          <w:sz w:val="28"/>
          <w:szCs w:val="28"/>
        </w:rPr>
        <w:t>年，从20</w:t>
      </w:r>
      <w:r>
        <w:rPr>
          <w:rFonts w:hint="eastAsia" w:ascii="宋体" w:hAnsi="宋体"/>
          <w:sz w:val="28"/>
          <w:szCs w:val="28"/>
          <w:lang w:val="en-US" w:eastAsia="zh-CN"/>
        </w:rPr>
        <w:t>20</w:t>
      </w:r>
      <w:r>
        <w:rPr>
          <w:rFonts w:hint="eastAsia" w:ascii="宋体" w:hAnsi="宋体"/>
          <w:sz w:val="28"/>
          <w:szCs w:val="28"/>
        </w:rPr>
        <w:t>年</w:t>
      </w:r>
      <w:r>
        <w:rPr>
          <w:rFonts w:hint="eastAsia" w:ascii="宋体" w:hAnsi="宋体"/>
          <w:sz w:val="28"/>
          <w:szCs w:val="28"/>
          <w:lang w:val="en-US" w:eastAsia="zh-CN"/>
        </w:rPr>
        <w:t>9</w:t>
      </w:r>
      <w:r>
        <w:rPr>
          <w:rFonts w:hint="eastAsia" w:ascii="宋体" w:hAnsi="宋体"/>
          <w:sz w:val="28"/>
          <w:szCs w:val="28"/>
        </w:rPr>
        <w:t>月到</w:t>
      </w:r>
      <w:r>
        <w:rPr>
          <w:rFonts w:ascii="宋体" w:hAnsi="宋体"/>
          <w:sz w:val="28"/>
          <w:szCs w:val="28"/>
        </w:rPr>
        <w:t>20</w:t>
      </w:r>
      <w:r>
        <w:rPr>
          <w:rFonts w:hint="eastAsia" w:ascii="宋体" w:hAnsi="宋体"/>
          <w:sz w:val="28"/>
          <w:szCs w:val="28"/>
          <w:lang w:val="en-US" w:eastAsia="zh-CN"/>
        </w:rPr>
        <w:t>21</w:t>
      </w:r>
      <w:r>
        <w:rPr>
          <w:rFonts w:hint="eastAsia" w:ascii="宋体" w:hAnsi="宋体"/>
          <w:sz w:val="28"/>
          <w:szCs w:val="28"/>
        </w:rPr>
        <w:t>年</w:t>
      </w:r>
      <w:r>
        <w:rPr>
          <w:rFonts w:hint="eastAsia" w:ascii="宋体" w:hAnsi="宋体"/>
          <w:sz w:val="28"/>
          <w:szCs w:val="28"/>
          <w:lang w:val="en-US" w:eastAsia="zh-CN"/>
        </w:rPr>
        <w:t>6</w:t>
      </w:r>
      <w:r>
        <w:rPr>
          <w:rFonts w:hint="eastAsia" w:ascii="宋体" w:hAnsi="宋体"/>
          <w:sz w:val="28"/>
          <w:szCs w:val="28"/>
        </w:rPr>
        <w:t>月</w:t>
      </w:r>
      <w:r>
        <w:rPr>
          <w:rFonts w:hint="eastAsia" w:ascii="宋体" w:hAnsi="宋体"/>
          <w:sz w:val="28"/>
          <w:szCs w:val="28"/>
          <w:lang w:eastAsia="zh-CN"/>
        </w:rPr>
        <w:t>；</w:t>
      </w:r>
      <w:r>
        <w:rPr>
          <w:rFonts w:hint="eastAsia" w:ascii="宋体" w:hAnsi="宋体"/>
          <w:sz w:val="28"/>
          <w:szCs w:val="28"/>
          <w:lang w:val="en-US" w:eastAsia="zh-CN"/>
        </w:rPr>
        <w:t>镇雄、会泽、赫章</w:t>
      </w:r>
      <w:r>
        <w:rPr>
          <w:rFonts w:hint="eastAsia" w:ascii="宋体" w:hAnsi="宋体"/>
          <w:sz w:val="28"/>
          <w:szCs w:val="28"/>
        </w:rPr>
        <w:t>项目周期为</w:t>
      </w:r>
      <w:r>
        <w:rPr>
          <w:rFonts w:hint="eastAsia" w:ascii="宋体" w:hAnsi="宋体"/>
          <w:sz w:val="28"/>
          <w:szCs w:val="28"/>
          <w:lang w:val="en-US" w:eastAsia="zh-CN"/>
        </w:rPr>
        <w:t>2</w:t>
      </w:r>
      <w:r>
        <w:rPr>
          <w:rFonts w:hint="eastAsia" w:ascii="宋体" w:hAnsi="宋体"/>
          <w:sz w:val="28"/>
          <w:szCs w:val="28"/>
        </w:rPr>
        <w:t>年，从20</w:t>
      </w:r>
      <w:r>
        <w:rPr>
          <w:rFonts w:hint="eastAsia" w:ascii="宋体" w:hAnsi="宋体"/>
          <w:sz w:val="28"/>
          <w:szCs w:val="28"/>
          <w:lang w:val="en-US" w:eastAsia="zh-CN"/>
        </w:rPr>
        <w:t>20</w:t>
      </w:r>
      <w:r>
        <w:rPr>
          <w:rFonts w:hint="eastAsia" w:ascii="宋体" w:hAnsi="宋体"/>
          <w:sz w:val="28"/>
          <w:szCs w:val="28"/>
        </w:rPr>
        <w:t>年</w:t>
      </w:r>
      <w:r>
        <w:rPr>
          <w:rFonts w:hint="eastAsia" w:ascii="宋体" w:hAnsi="宋体"/>
          <w:sz w:val="28"/>
          <w:szCs w:val="28"/>
          <w:lang w:val="en-US" w:eastAsia="zh-CN"/>
        </w:rPr>
        <w:t>9</w:t>
      </w:r>
      <w:r>
        <w:rPr>
          <w:rFonts w:hint="eastAsia" w:ascii="宋体" w:hAnsi="宋体"/>
          <w:sz w:val="28"/>
          <w:szCs w:val="28"/>
        </w:rPr>
        <w:t>月到</w:t>
      </w:r>
      <w:r>
        <w:rPr>
          <w:rFonts w:ascii="宋体" w:hAnsi="宋体"/>
          <w:sz w:val="28"/>
          <w:szCs w:val="28"/>
        </w:rPr>
        <w:t>20</w:t>
      </w:r>
      <w:r>
        <w:rPr>
          <w:rFonts w:hint="eastAsia" w:ascii="宋体" w:hAnsi="宋体"/>
          <w:sz w:val="28"/>
          <w:szCs w:val="28"/>
          <w:lang w:val="en-US" w:eastAsia="zh-CN"/>
        </w:rPr>
        <w:t>22</w:t>
      </w:r>
      <w:r>
        <w:rPr>
          <w:rFonts w:hint="eastAsia" w:ascii="宋体" w:hAnsi="宋体"/>
          <w:sz w:val="28"/>
          <w:szCs w:val="28"/>
        </w:rPr>
        <w:t>年</w:t>
      </w:r>
      <w:r>
        <w:rPr>
          <w:rFonts w:hint="eastAsia" w:ascii="宋体" w:hAnsi="宋体"/>
          <w:sz w:val="28"/>
          <w:szCs w:val="28"/>
          <w:lang w:val="en-US" w:eastAsia="zh-CN"/>
        </w:rPr>
        <w:t>9</w:t>
      </w:r>
      <w:r>
        <w:rPr>
          <w:rFonts w:hint="eastAsia" w:ascii="宋体" w:hAnsi="宋体"/>
          <w:sz w:val="28"/>
          <w:szCs w:val="28"/>
        </w:rPr>
        <w:t>月</w:t>
      </w:r>
    </w:p>
    <w:p>
      <w:pPr>
        <w:adjustRightInd w:val="0"/>
        <w:snapToGrid w:val="0"/>
        <w:spacing w:before="156" w:beforeLines="50" w:line="360" w:lineRule="auto"/>
        <w:ind w:firstLine="551" w:firstLineChars="196"/>
        <w:rPr>
          <w:rFonts w:ascii="黑体" w:hAnsi="宋体" w:eastAsia="黑体"/>
          <w:b/>
          <w:sz w:val="28"/>
          <w:szCs w:val="28"/>
        </w:rPr>
      </w:pPr>
      <w:r>
        <w:rPr>
          <w:rFonts w:hint="eastAsia" w:ascii="黑体" w:hAnsi="宋体" w:eastAsia="黑体"/>
          <w:b/>
          <w:sz w:val="28"/>
          <w:szCs w:val="28"/>
        </w:rPr>
        <w:t>五、申请机构的条件</w:t>
      </w:r>
    </w:p>
    <w:p>
      <w:pPr>
        <w:adjustRightInd w:val="0"/>
        <w:snapToGrid w:val="0"/>
        <w:spacing w:line="360" w:lineRule="auto"/>
        <w:ind w:firstLine="573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1、在中国大陆有关民政部门正式登记注册，具备独立法人资格并具有独立的财务帐号的社会公益组织； </w:t>
      </w:r>
    </w:p>
    <w:p>
      <w:pPr>
        <w:adjustRightInd w:val="0"/>
        <w:snapToGrid w:val="0"/>
        <w:spacing w:line="360" w:lineRule="auto"/>
        <w:ind w:firstLine="573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2、具备规范的财务管理制度，能提供正规的财税监制票据；</w:t>
      </w:r>
    </w:p>
    <w:p>
      <w:pPr>
        <w:adjustRightInd w:val="0"/>
        <w:snapToGrid w:val="0"/>
        <w:spacing w:line="360" w:lineRule="auto"/>
        <w:ind w:firstLine="573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3、认同中国扶贫基金会扶贫与发展工作的理念、价值和方法；</w:t>
      </w:r>
    </w:p>
    <w:p>
      <w:pPr>
        <w:adjustRightInd w:val="0"/>
        <w:snapToGrid w:val="0"/>
        <w:spacing w:line="360" w:lineRule="auto"/>
        <w:ind w:firstLine="573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4、了解、认同“加油计划”项目的设计理念、价值和方法；</w:t>
      </w:r>
    </w:p>
    <w:p>
      <w:pPr>
        <w:adjustRightInd w:val="0"/>
        <w:snapToGrid w:val="0"/>
        <w:spacing w:line="360" w:lineRule="auto"/>
        <w:ind w:firstLine="573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5、专业从事青少年心理、教育相关公益领域，擅长执行该领域的项目，有执行课程推广、技术支持类项目的优先；</w:t>
      </w:r>
    </w:p>
    <w:p>
      <w:pPr>
        <w:adjustRightInd w:val="0"/>
        <w:snapToGrid w:val="0"/>
        <w:spacing w:line="360" w:lineRule="auto"/>
        <w:ind w:firstLine="573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6、拥有稳定、成熟的项目管理、执行团队，团队中至少有2名具备青少年心理、教育、社会工作等专业背景的专职、兼职工作人员，以便提供技术支持，请提交“工作人员简历表”；</w:t>
      </w:r>
    </w:p>
    <w:p>
      <w:pPr>
        <w:adjustRightInd w:val="0"/>
        <w:snapToGrid w:val="0"/>
        <w:spacing w:line="360" w:lineRule="auto"/>
        <w:ind w:firstLine="573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7、具有开放学习的态度、互相尊重的精神和发展成长的潜力；</w:t>
      </w:r>
    </w:p>
    <w:p>
      <w:pPr>
        <w:adjustRightInd w:val="0"/>
        <w:snapToGrid w:val="0"/>
        <w:spacing w:line="360" w:lineRule="auto"/>
        <w:ind w:firstLine="573"/>
        <w:rPr>
          <w:rFonts w:hint="default" w:ascii="宋体" w:hAnsi="宋体" w:eastAsiaTheme="minorEastAsia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/>
          <w:b/>
          <w:bCs/>
          <w:sz w:val="28"/>
          <w:szCs w:val="28"/>
          <w:lang w:val="en-US" w:eastAsia="zh-CN"/>
        </w:rPr>
        <w:t>8、能至少派遣一位项目人员在项目区进行驻点工作（每学期2-3个月）。</w:t>
      </w:r>
    </w:p>
    <w:p>
      <w:pPr>
        <w:adjustRightInd w:val="0"/>
        <w:snapToGrid w:val="0"/>
        <w:spacing w:before="156" w:beforeLines="50" w:line="360" w:lineRule="auto"/>
        <w:ind w:firstLine="551" w:firstLineChars="196"/>
        <w:rPr>
          <w:rFonts w:ascii="黑体" w:hAnsi="宋体" w:eastAsia="黑体"/>
          <w:b/>
          <w:sz w:val="28"/>
          <w:szCs w:val="28"/>
        </w:rPr>
      </w:pPr>
      <w:r>
        <w:rPr>
          <w:rFonts w:hint="eastAsia" w:ascii="黑体" w:hAnsi="宋体" w:eastAsia="黑体"/>
          <w:b/>
          <w:sz w:val="28"/>
          <w:szCs w:val="28"/>
        </w:rPr>
        <w:t>六、申请机构工作内容</w:t>
      </w:r>
    </w:p>
    <w:p>
      <w:pPr>
        <w:adjustRightInd w:val="0"/>
        <w:snapToGrid w:val="0"/>
        <w:spacing w:line="360" w:lineRule="auto"/>
        <w:ind w:firstLine="573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具体的项目工作任务书，详见附表1。</w:t>
      </w:r>
    </w:p>
    <w:p>
      <w:pPr>
        <w:adjustRightInd w:val="0"/>
        <w:snapToGrid w:val="0"/>
        <w:spacing w:before="156" w:beforeLines="50" w:line="360" w:lineRule="auto"/>
        <w:ind w:firstLine="551" w:firstLineChars="196"/>
        <w:rPr>
          <w:rFonts w:ascii="黑体" w:hAnsi="宋体" w:eastAsia="黑体"/>
          <w:b/>
          <w:sz w:val="28"/>
          <w:szCs w:val="28"/>
        </w:rPr>
      </w:pPr>
      <w:r>
        <w:rPr>
          <w:rFonts w:hint="eastAsia" w:ascii="黑体" w:hAnsi="宋体" w:eastAsia="黑体"/>
          <w:b/>
          <w:sz w:val="28"/>
          <w:szCs w:val="28"/>
        </w:rPr>
        <w:t>七、工作内容及时间进度（拟）</w:t>
      </w:r>
    </w:p>
    <w:tbl>
      <w:tblPr>
        <w:tblStyle w:val="4"/>
        <w:tblW w:w="4998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2090"/>
        <w:gridCol w:w="2828"/>
        <w:gridCol w:w="1052"/>
        <w:gridCol w:w="23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10" w:hRule="atLeast"/>
          <w:jc w:val="center"/>
        </w:trPr>
        <w:tc>
          <w:tcPr>
            <w:tcW w:w="1255" w:type="pct"/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</w:rPr>
              <w:t>时间</w:t>
            </w:r>
          </w:p>
        </w:tc>
        <w:tc>
          <w:tcPr>
            <w:tcW w:w="1698" w:type="pct"/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</w:rPr>
              <w:t>工作内容</w:t>
            </w:r>
          </w:p>
        </w:tc>
        <w:tc>
          <w:tcPr>
            <w:tcW w:w="632" w:type="pct"/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</w:rPr>
              <w:t>参与机构</w:t>
            </w:r>
          </w:p>
        </w:tc>
        <w:tc>
          <w:tcPr>
            <w:tcW w:w="1413" w:type="pct"/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46" w:hRule="atLeast"/>
          <w:jc w:val="center"/>
        </w:trPr>
        <w:tc>
          <w:tcPr>
            <w:tcW w:w="1255" w:type="pct"/>
            <w:vAlign w:val="center"/>
          </w:tcPr>
          <w:p>
            <w:pPr>
              <w:tabs>
                <w:tab w:val="left" w:pos="1260"/>
              </w:tabs>
              <w:adjustRightInd w:val="0"/>
              <w:snapToGrid w:val="0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eastAsia="zh-CN"/>
              </w:rPr>
              <w:t>20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20</w:t>
            </w:r>
            <w:r>
              <w:rPr>
                <w:rFonts w:hint="eastAsia" w:ascii="宋体" w:hAnsi="宋体" w:cs="宋体"/>
                <w:sz w:val="24"/>
              </w:rPr>
              <w:t>年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6</w:t>
            </w:r>
            <w:r>
              <w:rPr>
                <w:rFonts w:hint="eastAsia" w:ascii="宋体" w:hAnsi="宋体" w:cs="宋体"/>
                <w:sz w:val="24"/>
              </w:rPr>
              <w:t>月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23</w:t>
            </w:r>
            <w:r>
              <w:rPr>
                <w:rFonts w:hint="eastAsia" w:ascii="宋体" w:hAnsi="宋体" w:cs="宋体"/>
                <w:sz w:val="24"/>
              </w:rPr>
              <w:t>日</w:t>
            </w:r>
          </w:p>
        </w:tc>
        <w:tc>
          <w:tcPr>
            <w:tcW w:w="1698" w:type="pct"/>
            <w:vAlign w:val="center"/>
          </w:tcPr>
          <w:p>
            <w:pPr>
              <w:tabs>
                <w:tab w:val="left" w:pos="1260"/>
              </w:tabs>
              <w:adjustRightInd w:val="0"/>
              <w:snapToGrid w:val="0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发布项目招募信息</w:t>
            </w:r>
          </w:p>
        </w:tc>
        <w:tc>
          <w:tcPr>
            <w:tcW w:w="632" w:type="pct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CFPA</w:t>
            </w:r>
          </w:p>
        </w:tc>
        <w:tc>
          <w:tcPr>
            <w:tcW w:w="1413" w:type="pct"/>
            <w:vAlign w:val="center"/>
          </w:tcPr>
          <w:p>
            <w:pPr>
              <w:rPr>
                <w:rFonts w:ascii="宋体"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46" w:hRule="atLeast"/>
          <w:jc w:val="center"/>
        </w:trPr>
        <w:tc>
          <w:tcPr>
            <w:tcW w:w="1255" w:type="pct"/>
            <w:vAlign w:val="center"/>
          </w:tcPr>
          <w:p>
            <w:pPr>
              <w:tabs>
                <w:tab w:val="left" w:pos="1260"/>
              </w:tabs>
              <w:adjustRightInd w:val="0"/>
              <w:snapToGrid w:val="0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eastAsia="zh-CN"/>
              </w:rPr>
              <w:t>20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20</w:t>
            </w:r>
            <w:r>
              <w:rPr>
                <w:rFonts w:hint="eastAsia" w:ascii="宋体" w:hAnsi="宋体" w:cs="宋体"/>
                <w:sz w:val="24"/>
              </w:rPr>
              <w:t>年</w:t>
            </w:r>
          </w:p>
          <w:p>
            <w:pPr>
              <w:tabs>
                <w:tab w:val="left" w:pos="1260"/>
              </w:tabs>
              <w:adjustRightInd w:val="0"/>
              <w:snapToGrid w:val="0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6</w:t>
            </w:r>
            <w:r>
              <w:rPr>
                <w:rFonts w:hint="eastAsia" w:ascii="宋体" w:hAnsi="宋体" w:cs="宋体"/>
                <w:sz w:val="24"/>
              </w:rPr>
              <w:t>月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23</w:t>
            </w:r>
            <w:r>
              <w:rPr>
                <w:rFonts w:hint="eastAsia" w:ascii="宋体" w:hAnsi="宋体" w:cs="宋体"/>
                <w:sz w:val="24"/>
              </w:rPr>
              <w:t>日-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7</w:t>
            </w:r>
            <w:r>
              <w:rPr>
                <w:rFonts w:hint="eastAsia" w:ascii="宋体" w:hAnsi="宋体" w:cs="宋体"/>
                <w:sz w:val="24"/>
              </w:rPr>
              <w:t>月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6</w:t>
            </w:r>
            <w:r>
              <w:rPr>
                <w:rFonts w:hint="eastAsia" w:ascii="宋体" w:hAnsi="宋体" w:cs="宋体"/>
                <w:sz w:val="24"/>
              </w:rPr>
              <w:t>日</w:t>
            </w:r>
          </w:p>
        </w:tc>
        <w:tc>
          <w:tcPr>
            <w:tcW w:w="1698" w:type="pct"/>
            <w:vAlign w:val="center"/>
          </w:tcPr>
          <w:p>
            <w:pPr>
              <w:tabs>
                <w:tab w:val="left" w:pos="1260"/>
              </w:tabs>
              <w:adjustRightInd w:val="0"/>
              <w:snapToGrid w:val="0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项目申请阶段</w:t>
            </w:r>
          </w:p>
        </w:tc>
        <w:tc>
          <w:tcPr>
            <w:tcW w:w="632" w:type="pct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CFPA</w:t>
            </w:r>
          </w:p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申请机构</w:t>
            </w:r>
          </w:p>
        </w:tc>
        <w:tc>
          <w:tcPr>
            <w:tcW w:w="1413" w:type="pct"/>
            <w:vAlign w:val="center"/>
          </w:tcPr>
          <w:p>
            <w:pPr>
              <w:rPr>
                <w:rFonts w:ascii="宋体"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46" w:hRule="atLeast"/>
          <w:jc w:val="center"/>
        </w:trPr>
        <w:tc>
          <w:tcPr>
            <w:tcW w:w="1255" w:type="pct"/>
            <w:vAlign w:val="center"/>
          </w:tcPr>
          <w:p>
            <w:pPr>
              <w:tabs>
                <w:tab w:val="left" w:pos="1260"/>
              </w:tabs>
              <w:adjustRightInd w:val="0"/>
              <w:snapToGrid w:val="0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eastAsia="zh-CN"/>
              </w:rPr>
              <w:t>20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20</w:t>
            </w:r>
            <w:r>
              <w:rPr>
                <w:rFonts w:hint="eastAsia" w:ascii="宋体" w:hAnsi="宋体" w:cs="宋体"/>
                <w:sz w:val="24"/>
              </w:rPr>
              <w:t>年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7</w:t>
            </w:r>
            <w:r>
              <w:rPr>
                <w:rFonts w:hint="eastAsia" w:ascii="宋体" w:hAnsi="宋体" w:cs="宋体"/>
                <w:sz w:val="24"/>
              </w:rPr>
              <w:t>月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8</w:t>
            </w:r>
            <w:r>
              <w:rPr>
                <w:rFonts w:hint="eastAsia" w:ascii="宋体" w:hAnsi="宋体" w:cs="宋体"/>
                <w:sz w:val="24"/>
              </w:rPr>
              <w:t>日</w:t>
            </w:r>
          </w:p>
        </w:tc>
        <w:tc>
          <w:tcPr>
            <w:tcW w:w="1698" w:type="pct"/>
            <w:vAlign w:val="center"/>
          </w:tcPr>
          <w:p>
            <w:pPr>
              <w:tabs>
                <w:tab w:val="left" w:pos="1260"/>
              </w:tabs>
              <w:adjustRightInd w:val="0"/>
              <w:snapToGrid w:val="0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组织项目评审</w:t>
            </w:r>
          </w:p>
        </w:tc>
        <w:tc>
          <w:tcPr>
            <w:tcW w:w="632" w:type="pct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CFPA</w:t>
            </w:r>
          </w:p>
        </w:tc>
        <w:tc>
          <w:tcPr>
            <w:tcW w:w="1413" w:type="pct"/>
            <w:vAlign w:val="center"/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46" w:hRule="atLeast"/>
          <w:jc w:val="center"/>
        </w:trPr>
        <w:tc>
          <w:tcPr>
            <w:tcW w:w="1255" w:type="pct"/>
            <w:vAlign w:val="center"/>
          </w:tcPr>
          <w:p>
            <w:pPr>
              <w:tabs>
                <w:tab w:val="left" w:pos="1260"/>
              </w:tabs>
              <w:adjustRightInd w:val="0"/>
              <w:snapToGrid w:val="0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eastAsia="zh-CN"/>
              </w:rPr>
              <w:t>20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20</w:t>
            </w:r>
            <w:r>
              <w:rPr>
                <w:rFonts w:hint="eastAsia" w:ascii="宋体" w:hAnsi="宋体" w:cs="宋体"/>
                <w:sz w:val="24"/>
              </w:rPr>
              <w:t>年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7</w:t>
            </w:r>
            <w:r>
              <w:rPr>
                <w:rFonts w:hint="eastAsia" w:ascii="宋体" w:hAnsi="宋体" w:cs="宋体"/>
                <w:sz w:val="24"/>
              </w:rPr>
              <w:t>月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9</w:t>
            </w:r>
            <w:r>
              <w:rPr>
                <w:rFonts w:hint="eastAsia" w:ascii="宋体" w:hAnsi="宋体" w:cs="宋体"/>
                <w:sz w:val="24"/>
              </w:rPr>
              <w:t>日</w:t>
            </w:r>
          </w:p>
        </w:tc>
        <w:tc>
          <w:tcPr>
            <w:tcW w:w="1698" w:type="pct"/>
            <w:vAlign w:val="center"/>
          </w:tcPr>
          <w:p>
            <w:pPr>
              <w:tabs>
                <w:tab w:val="left" w:pos="1260"/>
              </w:tabs>
              <w:adjustRightInd w:val="0"/>
              <w:snapToGrid w:val="0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公布项目申请结果</w:t>
            </w:r>
          </w:p>
        </w:tc>
        <w:tc>
          <w:tcPr>
            <w:tcW w:w="632" w:type="pct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CFPA</w:t>
            </w:r>
          </w:p>
        </w:tc>
        <w:tc>
          <w:tcPr>
            <w:tcW w:w="1413" w:type="pct"/>
            <w:vAlign w:val="center"/>
          </w:tcPr>
          <w:p>
            <w:pPr>
              <w:rPr>
                <w:rFonts w:ascii="宋体"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92" w:hRule="atLeast"/>
          <w:jc w:val="center"/>
        </w:trPr>
        <w:tc>
          <w:tcPr>
            <w:tcW w:w="1255" w:type="pct"/>
            <w:vAlign w:val="center"/>
          </w:tcPr>
          <w:p>
            <w:pPr>
              <w:tabs>
                <w:tab w:val="left" w:pos="1260"/>
              </w:tabs>
              <w:adjustRightInd w:val="0"/>
              <w:snapToGrid w:val="0"/>
              <w:jc w:val="left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20</w:t>
            </w:r>
            <w:r>
              <w:rPr>
                <w:rFonts w:hint="eastAsia" w:ascii="宋体" w:hAnsi="宋体" w:cs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</w:t>
            </w:r>
            <w:r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hint="eastAsia" w:ascii="宋体" w:hAnsi="宋体" w:cs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  <w:r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 w:ascii="宋体" w:hAnsi="宋体" w:cs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</w:t>
            </w:r>
            <w:r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日-</w:t>
            </w:r>
            <w:r>
              <w:rPr>
                <w:rFonts w:hint="eastAsia" w:ascii="宋体" w:hAnsi="宋体" w:cs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  <w:r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 w:ascii="宋体" w:hAnsi="宋体" w:cs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30</w:t>
            </w:r>
            <w:r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  <w:tc>
          <w:tcPr>
            <w:tcW w:w="1698" w:type="pct"/>
            <w:vAlign w:val="center"/>
          </w:tcPr>
          <w:p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项目申请书完善、签署合作协议</w:t>
            </w:r>
          </w:p>
        </w:tc>
        <w:tc>
          <w:tcPr>
            <w:tcW w:w="632" w:type="pct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CFPA</w:t>
            </w:r>
          </w:p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NGO</w:t>
            </w:r>
          </w:p>
        </w:tc>
        <w:tc>
          <w:tcPr>
            <w:tcW w:w="1413" w:type="pct"/>
            <w:vAlign w:val="center"/>
          </w:tcPr>
          <w:p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NGO完善项目计划书；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0" w:hRule="atLeast"/>
          <w:jc w:val="center"/>
        </w:trPr>
        <w:tc>
          <w:tcPr>
            <w:tcW w:w="1255" w:type="pct"/>
            <w:vAlign w:val="center"/>
          </w:tcPr>
          <w:p>
            <w:pPr>
              <w:tabs>
                <w:tab w:val="left" w:pos="1260"/>
              </w:tabs>
              <w:adjustRightInd w:val="0"/>
              <w:snapToGrid w:val="0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eastAsia="zh-CN"/>
              </w:rPr>
              <w:t>20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20</w:t>
            </w:r>
            <w:r>
              <w:rPr>
                <w:rFonts w:hint="eastAsia" w:ascii="宋体" w:hAnsi="宋体" w:cs="宋体"/>
                <w:sz w:val="24"/>
              </w:rPr>
              <w:t>年9月-20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22</w:t>
            </w:r>
            <w:r>
              <w:rPr>
                <w:rFonts w:hint="eastAsia" w:ascii="宋体" w:hAnsi="宋体" w:cs="宋体"/>
                <w:sz w:val="24"/>
              </w:rPr>
              <w:t>年6月</w:t>
            </w:r>
          </w:p>
        </w:tc>
        <w:tc>
          <w:tcPr>
            <w:tcW w:w="1698" w:type="pct"/>
            <w:vAlign w:val="center"/>
          </w:tcPr>
          <w:p>
            <w:pPr>
              <w:tabs>
                <w:tab w:val="left" w:pos="1260"/>
              </w:tabs>
              <w:adjustRightInd w:val="0"/>
              <w:snapToGrid w:val="0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组织、实施开展“加油计划”：</w:t>
            </w:r>
          </w:p>
          <w:p>
            <w:pPr>
              <w:tabs>
                <w:tab w:val="left" w:pos="1260"/>
              </w:tabs>
              <w:adjustRightInd w:val="0"/>
              <w:snapToGrid w:val="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1</w:t>
            </w:r>
            <w:r>
              <w:rPr>
                <w:rFonts w:hint="eastAsia" w:ascii="宋体" w:hAnsi="宋体" w:cs="宋体"/>
                <w:sz w:val="24"/>
              </w:rPr>
              <w:t>、项目学校教师在本校开展加油课程；</w:t>
            </w:r>
          </w:p>
          <w:p>
            <w:pPr>
              <w:tabs>
                <w:tab w:val="left" w:pos="1260"/>
              </w:tabs>
              <w:adjustRightInd w:val="0"/>
              <w:snapToGrid w:val="0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2、进行督导走访和技术支持，确保学校班级每周开展1节“加油课程”；</w:t>
            </w:r>
          </w:p>
          <w:p>
            <w:pPr>
              <w:tabs>
                <w:tab w:val="left" w:pos="1260"/>
              </w:tabs>
              <w:adjustRightInd w:val="0"/>
              <w:snapToGrid w:val="0"/>
              <w:rPr>
                <w:rFonts w:hint="eastAsia" w:ascii="宋体" w:hAnsi="宋体" w:cs="宋体" w:eastAsiaTheme="minorEastAsia"/>
                <w:sz w:val="24"/>
                <w:lang w:eastAsia="zh-CN"/>
              </w:rPr>
            </w:pPr>
            <w:r>
              <w:rPr>
                <w:rFonts w:ascii="宋体" w:hAnsi="宋体" w:cs="宋体"/>
                <w:sz w:val="24"/>
              </w:rPr>
              <w:t>3</w:t>
            </w:r>
            <w:r>
              <w:rPr>
                <w:rFonts w:hint="eastAsia" w:ascii="宋体" w:hAnsi="宋体" w:cs="宋体"/>
                <w:sz w:val="24"/>
              </w:rPr>
              <w:t>、设计项目交流活动，传播、推广“加油计划”</w:t>
            </w:r>
            <w:r>
              <w:rPr>
                <w:rFonts w:hint="eastAsia" w:ascii="宋体" w:hAnsi="宋体" w:cs="宋体"/>
                <w:sz w:val="24"/>
                <w:lang w:eastAsia="zh-CN"/>
              </w:rPr>
              <w:t>。</w:t>
            </w:r>
          </w:p>
        </w:tc>
        <w:tc>
          <w:tcPr>
            <w:tcW w:w="632" w:type="pct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项目学校</w:t>
            </w:r>
          </w:p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NGO</w:t>
            </w:r>
          </w:p>
          <w:p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413" w:type="pct"/>
            <w:vAlign w:val="center"/>
          </w:tcPr>
          <w:p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项目学校教师实施加油项目；</w:t>
            </w:r>
          </w:p>
          <w:p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NGO开展项目宣传，并整理提交项目材料；组织督导走访；</w:t>
            </w:r>
          </w:p>
          <w:p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加油计划项目办公室支持督导走访，CFPA负责协调培训专家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并</w:t>
            </w:r>
            <w:r>
              <w:rPr>
                <w:rFonts w:hint="eastAsia" w:ascii="宋体" w:hAnsi="宋体" w:cs="宋体"/>
                <w:sz w:val="24"/>
                <w:szCs w:val="24"/>
              </w:rPr>
              <w:t>监测管理。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9" w:hRule="atLeast"/>
          <w:jc w:val="center"/>
        </w:trPr>
        <w:tc>
          <w:tcPr>
            <w:tcW w:w="1255" w:type="pct"/>
            <w:vAlign w:val="center"/>
          </w:tcPr>
          <w:p>
            <w:pPr>
              <w:tabs>
                <w:tab w:val="left" w:pos="1260"/>
              </w:tabs>
              <w:adjustRightInd w:val="0"/>
              <w:snapToGrid w:val="0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eastAsia="zh-CN"/>
              </w:rPr>
              <w:t>20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20</w:t>
            </w:r>
            <w:r>
              <w:rPr>
                <w:rFonts w:hint="eastAsia" w:ascii="宋体" w:hAnsi="宋体" w:cs="宋体"/>
                <w:sz w:val="24"/>
              </w:rPr>
              <w:t>年9月-</w:t>
            </w:r>
            <w:r>
              <w:rPr>
                <w:rFonts w:ascii="宋体" w:hAnsi="宋体" w:cs="宋体"/>
                <w:sz w:val="24"/>
              </w:rPr>
              <w:t>20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22</w:t>
            </w:r>
            <w:r>
              <w:rPr>
                <w:rFonts w:hint="eastAsia" w:ascii="宋体" w:hAnsi="宋体" w:cs="宋体"/>
                <w:sz w:val="24"/>
              </w:rPr>
              <w:t>年6月</w:t>
            </w:r>
          </w:p>
        </w:tc>
        <w:tc>
          <w:tcPr>
            <w:tcW w:w="1698" w:type="pct"/>
            <w:vAlign w:val="center"/>
          </w:tcPr>
          <w:p>
            <w:pPr>
              <w:tabs>
                <w:tab w:val="left" w:pos="1260"/>
              </w:tabs>
              <w:adjustRightInd w:val="0"/>
              <w:snapToGrid w:val="0"/>
              <w:jc w:val="left"/>
              <w:rPr>
                <w:rFonts w:hint="default" w:ascii="宋体" w:hAnsi="宋体" w:cs="宋体" w:eastAsiaTheme="minorEastAsia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</w:rPr>
              <w:t>项目学校每学期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参加</w:t>
            </w:r>
            <w:r>
              <w:rPr>
                <w:rFonts w:hint="eastAsia" w:ascii="宋体" w:hAnsi="宋体" w:cs="宋体"/>
                <w:sz w:val="24"/>
              </w:rPr>
              <w:t>加油课程各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sz w:val="24"/>
              </w:rPr>
              <w:t>次</w:t>
            </w:r>
            <w:r>
              <w:rPr>
                <w:rFonts w:hint="eastAsia" w:ascii="宋体" w:hAnsi="宋体" w:cs="宋体"/>
                <w:sz w:val="24"/>
                <w:lang w:eastAsia="zh-CN"/>
              </w:rPr>
              <w:t>，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项目期内共8次培训。</w:t>
            </w:r>
          </w:p>
        </w:tc>
        <w:tc>
          <w:tcPr>
            <w:tcW w:w="632" w:type="pct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CFPA</w:t>
            </w:r>
          </w:p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NGO</w:t>
            </w:r>
          </w:p>
        </w:tc>
        <w:tc>
          <w:tcPr>
            <w:tcW w:w="1413" w:type="pct"/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CFPA负责协调培训专家，加油计划项目办公室负责协调培训场地支持会务工作，NGO负责组织项目学校教师参加培训，完成会务工作；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9" w:hRule="atLeast"/>
          <w:jc w:val="center"/>
        </w:trPr>
        <w:tc>
          <w:tcPr>
            <w:tcW w:w="1255" w:type="pct"/>
            <w:vAlign w:val="center"/>
          </w:tcPr>
          <w:p>
            <w:pPr>
              <w:tabs>
                <w:tab w:val="left" w:pos="1260"/>
              </w:tabs>
              <w:adjustRightInd w:val="0"/>
              <w:snapToGrid w:val="0"/>
              <w:rPr>
                <w:rFonts w:hint="default" w:ascii="宋体" w:hAnsi="宋体" w:cs="宋体" w:eastAsiaTheme="minorEastAsia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</w:rPr>
              <w:t>20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21</w:t>
            </w:r>
            <w:r>
              <w:rPr>
                <w:rFonts w:hint="eastAsia" w:ascii="宋体" w:hAnsi="宋体" w:cs="宋体"/>
                <w:sz w:val="24"/>
              </w:rPr>
              <w:t>年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sz w:val="24"/>
              </w:rPr>
              <w:t>月</w:t>
            </w:r>
            <w:r>
              <w:rPr>
                <w:rFonts w:hint="eastAsia" w:ascii="宋体" w:hAnsi="宋体" w:cs="宋体"/>
                <w:sz w:val="24"/>
                <w:lang w:eastAsia="zh-CN"/>
              </w:rPr>
              <w:t>、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2022年4月</w:t>
            </w:r>
          </w:p>
        </w:tc>
        <w:tc>
          <w:tcPr>
            <w:tcW w:w="1698" w:type="pct"/>
            <w:vAlign w:val="center"/>
          </w:tcPr>
          <w:p>
            <w:pPr>
              <w:tabs>
                <w:tab w:val="left" w:pos="1260"/>
              </w:tabs>
              <w:adjustRightInd w:val="0"/>
              <w:snapToGrid w:val="0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县际</w:t>
            </w:r>
            <w:r>
              <w:rPr>
                <w:rFonts w:hint="eastAsia" w:ascii="宋体" w:hAnsi="宋体" w:cs="宋体"/>
                <w:sz w:val="24"/>
              </w:rPr>
              <w:t>教练员交流会</w:t>
            </w:r>
          </w:p>
        </w:tc>
        <w:tc>
          <w:tcPr>
            <w:tcW w:w="632" w:type="pct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CFPA</w:t>
            </w:r>
          </w:p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NGO</w:t>
            </w:r>
          </w:p>
        </w:tc>
        <w:tc>
          <w:tcPr>
            <w:tcW w:w="1413" w:type="pct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组织项目学校教练员与其他项目区教练员进行技术交流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9" w:hRule="atLeast"/>
          <w:jc w:val="center"/>
        </w:trPr>
        <w:tc>
          <w:tcPr>
            <w:tcW w:w="1255" w:type="pct"/>
            <w:vAlign w:val="center"/>
          </w:tcPr>
          <w:p>
            <w:pPr>
              <w:tabs>
                <w:tab w:val="left" w:pos="1260"/>
              </w:tabs>
              <w:adjustRightInd w:val="0"/>
              <w:snapToGrid w:val="0"/>
              <w:rPr>
                <w:rFonts w:hint="default" w:ascii="宋体" w:hAnsi="宋体" w:cs="宋体" w:eastAsiaTheme="minorEastAsia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</w:rPr>
              <w:t>20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21</w:t>
            </w:r>
            <w:r>
              <w:rPr>
                <w:rFonts w:hint="eastAsia" w:ascii="宋体" w:hAnsi="宋体" w:cs="宋体"/>
                <w:sz w:val="24"/>
              </w:rPr>
              <w:t>年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9</w:t>
            </w:r>
            <w:r>
              <w:rPr>
                <w:rFonts w:hint="eastAsia" w:ascii="宋体" w:hAnsi="宋体" w:cs="宋体"/>
                <w:sz w:val="24"/>
              </w:rPr>
              <w:t>月</w:t>
            </w:r>
            <w:r>
              <w:rPr>
                <w:rFonts w:hint="eastAsia" w:ascii="宋体" w:hAnsi="宋体" w:cs="宋体"/>
                <w:sz w:val="24"/>
                <w:lang w:eastAsia="zh-CN"/>
              </w:rPr>
              <w:t>、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2022年5月</w:t>
            </w:r>
          </w:p>
        </w:tc>
        <w:tc>
          <w:tcPr>
            <w:tcW w:w="1698" w:type="pct"/>
            <w:vAlign w:val="center"/>
          </w:tcPr>
          <w:p>
            <w:pPr>
              <w:tabs>
                <w:tab w:val="left" w:pos="1260"/>
              </w:tabs>
              <w:adjustRightInd w:val="0"/>
              <w:snapToGrid w:val="0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项目年度总结研讨会</w:t>
            </w:r>
          </w:p>
        </w:tc>
        <w:tc>
          <w:tcPr>
            <w:tcW w:w="632" w:type="pct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CFPA</w:t>
            </w:r>
          </w:p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NGO</w:t>
            </w:r>
          </w:p>
        </w:tc>
        <w:tc>
          <w:tcPr>
            <w:tcW w:w="1413" w:type="pct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项目</w:t>
            </w:r>
            <w:r>
              <w:rPr>
                <w:rFonts w:ascii="宋体" w:hAnsi="宋体" w:cs="宋体"/>
                <w:sz w:val="24"/>
              </w:rPr>
              <w:t>执行</w:t>
            </w:r>
            <w:r>
              <w:rPr>
                <w:rFonts w:hint="eastAsia" w:ascii="宋体" w:hAnsi="宋体" w:cs="宋体"/>
                <w:sz w:val="24"/>
              </w:rPr>
              <w:t>一年左右举行</w:t>
            </w:r>
            <w:r>
              <w:rPr>
                <w:rFonts w:ascii="宋体" w:hAnsi="宋体" w:cs="宋体"/>
                <w:sz w:val="24"/>
              </w:rPr>
              <w:t>项目总结会</w:t>
            </w:r>
            <w:r>
              <w:rPr>
                <w:rFonts w:hint="eastAsia" w:ascii="宋体" w:hAnsi="宋体" w:cs="宋体"/>
                <w:sz w:val="24"/>
              </w:rPr>
              <w:t>暨优秀教练员表彰会；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9" w:hRule="atLeast"/>
          <w:jc w:val="center"/>
        </w:trPr>
        <w:tc>
          <w:tcPr>
            <w:tcW w:w="1255" w:type="pct"/>
            <w:vAlign w:val="center"/>
          </w:tcPr>
          <w:p>
            <w:pPr>
              <w:tabs>
                <w:tab w:val="left" w:pos="1260"/>
              </w:tabs>
              <w:adjustRightInd w:val="0"/>
              <w:snapToGrid w:val="0"/>
              <w:rPr>
                <w:rFonts w:hint="default" w:ascii="宋体" w:hAnsi="宋体" w:cs="宋体" w:eastAsiaTheme="minorEastAsia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2021年6月1日、2022年6月1日</w:t>
            </w:r>
          </w:p>
        </w:tc>
        <w:tc>
          <w:tcPr>
            <w:tcW w:w="1698" w:type="pct"/>
            <w:vAlign w:val="center"/>
          </w:tcPr>
          <w:p>
            <w:pPr>
              <w:tabs>
                <w:tab w:val="left" w:pos="1260"/>
              </w:tabs>
              <w:adjustRightInd w:val="0"/>
              <w:snapToGrid w:val="0"/>
              <w:jc w:val="left"/>
              <w:rPr>
                <w:rFonts w:hint="default" w:ascii="宋体" w:hAnsi="宋体" w:cs="宋体" w:eastAsiaTheme="minorEastAsia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校级主题活动</w:t>
            </w:r>
          </w:p>
        </w:tc>
        <w:tc>
          <w:tcPr>
            <w:tcW w:w="632" w:type="pct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项目学校</w:t>
            </w:r>
            <w:r>
              <w:rPr>
                <w:rFonts w:hint="eastAsia" w:ascii="宋体" w:hAnsi="宋体" w:cs="宋体"/>
                <w:sz w:val="24"/>
              </w:rPr>
              <w:t>NGO</w:t>
            </w:r>
          </w:p>
        </w:tc>
        <w:tc>
          <w:tcPr>
            <w:tcW w:w="1413" w:type="pct"/>
          </w:tcPr>
          <w:p>
            <w:pPr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9" w:hRule="atLeast"/>
          <w:jc w:val="center"/>
        </w:trPr>
        <w:tc>
          <w:tcPr>
            <w:tcW w:w="1255" w:type="pct"/>
            <w:vAlign w:val="center"/>
          </w:tcPr>
          <w:p>
            <w:pPr>
              <w:tabs>
                <w:tab w:val="left" w:pos="1260"/>
              </w:tabs>
              <w:adjustRightInd w:val="0"/>
              <w:snapToGrid w:val="0"/>
              <w:rPr>
                <w:rFonts w:hint="default" w:ascii="宋体" w:hAnsi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2020年10-11月</w:t>
            </w:r>
          </w:p>
        </w:tc>
        <w:tc>
          <w:tcPr>
            <w:tcW w:w="1698" w:type="pct"/>
            <w:vAlign w:val="center"/>
          </w:tcPr>
          <w:p>
            <w:pPr>
              <w:tabs>
                <w:tab w:val="left" w:pos="1260"/>
              </w:tabs>
              <w:adjustRightInd w:val="0"/>
              <w:snapToGrid w:val="0"/>
              <w:jc w:val="left"/>
              <w:rPr>
                <w:rFonts w:hint="default" w:ascii="宋体" w:hAnsi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加油计划中国乡村校长论坛</w:t>
            </w:r>
          </w:p>
        </w:tc>
        <w:tc>
          <w:tcPr>
            <w:tcW w:w="632" w:type="pct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CFPA</w:t>
            </w:r>
          </w:p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NGO</w:t>
            </w:r>
          </w:p>
        </w:tc>
        <w:tc>
          <w:tcPr>
            <w:tcW w:w="1413" w:type="pct"/>
          </w:tcPr>
          <w:p>
            <w:pPr>
              <w:rPr>
                <w:rFonts w:hint="eastAsia" w:ascii="宋体" w:hAnsi="宋体" w:cs="宋体"/>
                <w:sz w:val="24"/>
              </w:rPr>
            </w:pPr>
          </w:p>
        </w:tc>
      </w:tr>
    </w:tbl>
    <w:p>
      <w:pPr>
        <w:adjustRightInd w:val="0"/>
        <w:snapToGrid w:val="0"/>
        <w:spacing w:before="312" w:beforeLines="100" w:line="360" w:lineRule="auto"/>
        <w:ind w:firstLine="551" w:firstLineChars="196"/>
        <w:rPr>
          <w:rFonts w:ascii="黑体" w:hAnsi="宋体" w:eastAsia="黑体"/>
          <w:b/>
          <w:sz w:val="28"/>
          <w:szCs w:val="28"/>
        </w:rPr>
      </w:pPr>
      <w:r>
        <w:rPr>
          <w:rFonts w:hint="eastAsia" w:ascii="黑体" w:hAnsi="宋体" w:eastAsia="黑体"/>
          <w:b/>
          <w:sz w:val="28"/>
          <w:szCs w:val="28"/>
        </w:rPr>
        <w:t>九、附件资料</w:t>
      </w:r>
    </w:p>
    <w:p>
      <w:pPr>
        <w:numPr>
          <w:ilvl w:val="0"/>
          <w:numId w:val="1"/>
        </w:numPr>
        <w:adjustRightInd w:val="0"/>
        <w:snapToGrid w:val="0"/>
        <w:spacing w:line="360" w:lineRule="auto"/>
        <w:ind w:firstLine="560" w:firstLineChars="200"/>
        <w:jc w:val="left"/>
        <w:rPr>
          <w:rFonts w:hint="default" w:ascii="宋体" w:hAnsi="宋体"/>
          <w:sz w:val="28"/>
          <w:szCs w:val="28"/>
          <w:lang w:val="en-US"/>
        </w:rPr>
      </w:pPr>
      <w:r>
        <w:rPr>
          <w:rFonts w:hint="eastAsia" w:ascii="宋体" w:hAnsi="宋体"/>
          <w:sz w:val="28"/>
          <w:szCs w:val="28"/>
        </w:rPr>
        <w:t>附件1：</w:t>
      </w:r>
      <w:r>
        <w:rPr>
          <w:rFonts w:hint="eastAsia" w:ascii="宋体" w:hAnsi="宋体"/>
          <w:sz w:val="28"/>
          <w:szCs w:val="28"/>
          <w:lang w:val="en-US" w:eastAsia="zh-CN"/>
        </w:rPr>
        <w:t>工作任务书1</w:t>
      </w:r>
    </w:p>
    <w:p>
      <w:pPr>
        <w:adjustRightInd w:val="0"/>
        <w:snapToGrid w:val="0"/>
        <w:spacing w:line="360" w:lineRule="auto"/>
        <w:ind w:firstLine="551" w:firstLineChars="196"/>
        <w:rPr>
          <w:rFonts w:ascii="黑体" w:hAnsi="宋体" w:eastAsia="黑体"/>
          <w:b/>
          <w:sz w:val="28"/>
          <w:szCs w:val="28"/>
        </w:rPr>
      </w:pPr>
      <w:r>
        <w:rPr>
          <w:rFonts w:hint="eastAsia" w:ascii="黑体" w:hAnsi="宋体" w:eastAsia="黑体"/>
          <w:b/>
          <w:sz w:val="28"/>
          <w:szCs w:val="28"/>
        </w:rPr>
        <w:t>十、截止时间</w:t>
      </w:r>
    </w:p>
    <w:p>
      <w:pPr>
        <w:adjustRightInd w:val="0"/>
        <w:snapToGrid w:val="0"/>
        <w:spacing w:line="360" w:lineRule="auto"/>
        <w:ind w:firstLine="560" w:firstLineChars="200"/>
        <w:jc w:val="left"/>
        <w:rPr>
          <w:rFonts w:ascii="宋体" w:hAnsi="宋体"/>
          <w:sz w:val="28"/>
          <w:szCs w:val="28"/>
          <w:u w:val="single"/>
        </w:rPr>
      </w:pPr>
      <w:r>
        <w:rPr>
          <w:rFonts w:hint="eastAsia" w:ascii="宋体" w:hAnsi="宋体"/>
          <w:sz w:val="28"/>
          <w:szCs w:val="28"/>
          <w:u w:val="single"/>
        </w:rPr>
        <w:t>截止时间为：</w:t>
      </w:r>
      <w:r>
        <w:rPr>
          <w:rFonts w:hint="eastAsia" w:ascii="宋体" w:hAnsi="宋体"/>
          <w:sz w:val="28"/>
          <w:szCs w:val="28"/>
          <w:u w:val="single"/>
          <w:lang w:eastAsia="zh-CN"/>
        </w:rPr>
        <w:t>20</w:t>
      </w:r>
      <w:r>
        <w:rPr>
          <w:rFonts w:hint="eastAsia" w:ascii="宋体" w:hAnsi="宋体"/>
          <w:sz w:val="28"/>
          <w:szCs w:val="28"/>
          <w:u w:val="single"/>
          <w:lang w:val="en-US" w:eastAsia="zh-CN"/>
        </w:rPr>
        <w:t>20</w:t>
      </w:r>
      <w:r>
        <w:rPr>
          <w:rFonts w:hint="eastAsia" w:ascii="宋体" w:hAnsi="宋体"/>
          <w:sz w:val="28"/>
          <w:szCs w:val="28"/>
          <w:u w:val="single"/>
        </w:rPr>
        <w:t>年</w:t>
      </w:r>
      <w:r>
        <w:rPr>
          <w:rFonts w:hint="eastAsia" w:ascii="宋体" w:hAnsi="宋体"/>
          <w:sz w:val="28"/>
          <w:szCs w:val="28"/>
          <w:u w:val="single"/>
          <w:lang w:val="en-US" w:eastAsia="zh-CN"/>
        </w:rPr>
        <w:t>6</w:t>
      </w:r>
      <w:r>
        <w:rPr>
          <w:rFonts w:hint="eastAsia" w:ascii="宋体" w:hAnsi="宋体"/>
          <w:sz w:val="28"/>
          <w:szCs w:val="28"/>
          <w:u w:val="single"/>
        </w:rPr>
        <w:t>月</w:t>
      </w:r>
      <w:r>
        <w:rPr>
          <w:rFonts w:hint="eastAsia" w:ascii="宋体" w:hAnsi="宋体"/>
          <w:sz w:val="28"/>
          <w:szCs w:val="28"/>
          <w:u w:val="single"/>
          <w:lang w:val="en-US" w:eastAsia="zh-CN"/>
        </w:rPr>
        <w:t>30</w:t>
      </w:r>
      <w:r>
        <w:rPr>
          <w:rFonts w:hint="eastAsia" w:ascii="宋体" w:hAnsi="宋体"/>
          <w:sz w:val="28"/>
          <w:szCs w:val="28"/>
          <w:u w:val="single"/>
        </w:rPr>
        <w:t>日</w:t>
      </w:r>
    </w:p>
    <w:p>
      <w:pPr>
        <w:adjustRightInd w:val="0"/>
        <w:snapToGrid w:val="0"/>
        <w:spacing w:line="360" w:lineRule="auto"/>
        <w:ind w:firstLine="551" w:firstLineChars="196"/>
        <w:rPr>
          <w:rFonts w:ascii="黑体" w:hAnsi="宋体" w:eastAsia="黑体"/>
          <w:b/>
          <w:sz w:val="28"/>
          <w:szCs w:val="28"/>
        </w:rPr>
      </w:pPr>
      <w:r>
        <w:rPr>
          <w:rFonts w:hint="eastAsia" w:ascii="黑体" w:hAnsi="宋体" w:eastAsia="黑体"/>
          <w:b/>
          <w:sz w:val="28"/>
          <w:szCs w:val="28"/>
        </w:rPr>
        <w:t>十一、项目联系</w:t>
      </w:r>
    </w:p>
    <w:p>
      <w:pPr>
        <w:adjustRightInd w:val="0"/>
        <w:snapToGrid w:val="0"/>
        <w:spacing w:line="360" w:lineRule="auto"/>
        <w:ind w:firstLine="560" w:firstLineChars="200"/>
        <w:jc w:val="lef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联系人：廖先生</w:t>
      </w:r>
    </w:p>
    <w:p>
      <w:pPr>
        <w:adjustRightInd w:val="0"/>
        <w:snapToGrid w:val="0"/>
        <w:spacing w:line="360" w:lineRule="auto"/>
        <w:ind w:firstLine="560" w:firstLineChars="200"/>
        <w:jc w:val="lef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邮  箱：</w:t>
      </w:r>
      <w:r>
        <w:fldChar w:fldCharType="begin"/>
      </w:r>
      <w:r>
        <w:instrText xml:space="preserve"> HYPERLINK "mailto:liaoyunsong@fupin.org.cn" </w:instrText>
      </w:r>
      <w:r>
        <w:fldChar w:fldCharType="separate"/>
      </w:r>
      <w:r>
        <w:rPr>
          <w:rStyle w:val="6"/>
          <w:rFonts w:ascii="宋体" w:hAnsi="宋体"/>
          <w:sz w:val="28"/>
          <w:szCs w:val="28"/>
        </w:rPr>
        <w:t>liaoyunsong</w:t>
      </w:r>
      <w:r>
        <w:rPr>
          <w:rStyle w:val="6"/>
          <w:rFonts w:hint="eastAsia" w:ascii="宋体" w:hAnsi="宋体"/>
          <w:sz w:val="28"/>
          <w:szCs w:val="28"/>
        </w:rPr>
        <w:t>@fupin.org.cn</w:t>
      </w:r>
      <w:r>
        <w:rPr>
          <w:rStyle w:val="6"/>
          <w:rFonts w:hint="eastAsia" w:ascii="宋体" w:hAnsi="宋体"/>
          <w:sz w:val="28"/>
          <w:szCs w:val="28"/>
        </w:rPr>
        <w:fldChar w:fldCharType="end"/>
      </w:r>
    </w:p>
    <w:p>
      <w:pPr>
        <w:adjustRightInd w:val="0"/>
        <w:snapToGrid w:val="0"/>
        <w:spacing w:line="360" w:lineRule="auto"/>
        <w:ind w:firstLine="560" w:firstLineChars="200"/>
        <w:jc w:val="lef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电  话：010-82872688-</w:t>
      </w:r>
      <w:r>
        <w:rPr>
          <w:rFonts w:ascii="宋体" w:hAnsi="宋体"/>
          <w:sz w:val="28"/>
          <w:szCs w:val="28"/>
        </w:rPr>
        <w:t>470</w:t>
      </w:r>
    </w:p>
    <w:p>
      <w:pPr>
        <w:ind w:firstLine="562" w:firstLineChars="200"/>
        <w:rPr>
          <w:rFonts w:ascii="黑体" w:hAnsi="宋体" w:eastAsia="黑体"/>
          <w:b/>
          <w:sz w:val="28"/>
          <w:szCs w:val="28"/>
        </w:rPr>
      </w:pPr>
      <w:r>
        <w:rPr>
          <w:rFonts w:hint="eastAsia" w:ascii="黑体" w:hAnsi="宋体" w:eastAsia="黑体"/>
          <w:b/>
          <w:sz w:val="28"/>
          <w:szCs w:val="28"/>
        </w:rPr>
        <w:t>附表1：工作任务书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244"/>
        <w:gridCol w:w="700"/>
        <w:gridCol w:w="518"/>
        <w:gridCol w:w="3033"/>
        <w:gridCol w:w="38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37" w:hRule="atLeast"/>
        </w:trPr>
        <w:tc>
          <w:tcPr>
            <w:tcW w:w="0" w:type="auto"/>
          </w:tcPr>
          <w:p>
            <w:pPr>
              <w:spacing w:line="240" w:lineRule="atLeast"/>
              <w:jc w:val="left"/>
              <w:rPr>
                <w:rFonts w:ascii="微软雅黑" w:hAnsi="微软雅黑" w:eastAsia="微软雅黑"/>
                <w:b/>
                <w:bCs/>
                <w:sz w:val="20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bCs/>
                <w:sz w:val="20"/>
                <w:szCs w:val="28"/>
              </w:rPr>
              <w:t>序号</w:t>
            </w:r>
          </w:p>
        </w:tc>
        <w:tc>
          <w:tcPr>
            <w:tcW w:w="0" w:type="auto"/>
          </w:tcPr>
          <w:p>
            <w:pPr>
              <w:spacing w:line="240" w:lineRule="atLeast"/>
              <w:jc w:val="left"/>
              <w:rPr>
                <w:rFonts w:ascii="微软雅黑" w:hAnsi="微软雅黑" w:eastAsia="微软雅黑"/>
                <w:b/>
                <w:bCs/>
                <w:sz w:val="20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bCs/>
                <w:sz w:val="20"/>
                <w:szCs w:val="28"/>
              </w:rPr>
              <w:t>项目工作版块</w:t>
            </w:r>
          </w:p>
        </w:tc>
        <w:tc>
          <w:tcPr>
            <w:tcW w:w="0" w:type="auto"/>
          </w:tcPr>
          <w:p>
            <w:pPr>
              <w:spacing w:line="240" w:lineRule="atLeast"/>
              <w:jc w:val="left"/>
              <w:rPr>
                <w:rFonts w:ascii="微软雅黑" w:hAnsi="微软雅黑" w:eastAsia="微软雅黑"/>
                <w:b/>
                <w:bCs/>
                <w:sz w:val="22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bCs/>
                <w:sz w:val="22"/>
                <w:szCs w:val="28"/>
              </w:rPr>
              <w:t>工作内容</w:t>
            </w:r>
          </w:p>
        </w:tc>
        <w:tc>
          <w:tcPr>
            <w:tcW w:w="0" w:type="auto"/>
          </w:tcPr>
          <w:p>
            <w:pPr>
              <w:jc w:val="left"/>
              <w:rPr>
                <w:rFonts w:ascii="微软雅黑" w:hAnsi="微软雅黑" w:eastAsia="微软雅黑"/>
                <w:b/>
                <w:bCs/>
                <w:sz w:val="22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bCs/>
                <w:sz w:val="22"/>
                <w:szCs w:val="28"/>
              </w:rPr>
              <w:t>具体细项</w:t>
            </w:r>
          </w:p>
        </w:tc>
        <w:tc>
          <w:tcPr>
            <w:tcW w:w="0" w:type="auto"/>
          </w:tcPr>
          <w:p>
            <w:pPr>
              <w:jc w:val="left"/>
              <w:rPr>
                <w:rFonts w:ascii="微软雅黑" w:hAnsi="微软雅黑" w:eastAsia="微软雅黑"/>
                <w:b/>
                <w:bCs/>
                <w:sz w:val="1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bCs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49" w:hRule="atLeast"/>
        </w:trPr>
        <w:tc>
          <w:tcPr>
            <w:tcW w:w="0" w:type="auto"/>
            <w:vMerge w:val="restart"/>
          </w:tcPr>
          <w:p>
            <w:pPr>
              <w:jc w:val="left"/>
              <w:rPr>
                <w:rFonts w:ascii="微软雅黑" w:hAnsi="微软雅黑" w:eastAsia="微软雅黑"/>
                <w:b/>
                <w:bCs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</w:tcPr>
          <w:p>
            <w:pPr>
              <w:jc w:val="left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项目专项管理</w:t>
            </w:r>
          </w:p>
        </w:tc>
        <w:tc>
          <w:tcPr>
            <w:tcW w:w="0" w:type="auto"/>
            <w:vMerge w:val="restart"/>
          </w:tcPr>
          <w:p>
            <w:pPr>
              <w:jc w:val="left"/>
              <w:rPr>
                <w:rFonts w:hint="eastAsia"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课程培训管理</w:t>
            </w:r>
          </w:p>
          <w:p>
            <w:pPr>
              <w:jc w:val="left"/>
              <w:rPr>
                <w:rFonts w:hint="default" w:ascii="微软雅黑" w:hAnsi="微软雅黑" w:eastAsia="微软雅黑"/>
                <w:sz w:val="24"/>
                <w:szCs w:val="24"/>
                <w:lang w:val="en-US" w:eastAsia="zh-CN"/>
              </w:rPr>
            </w:pPr>
          </w:p>
        </w:tc>
        <w:tc>
          <w:tcPr>
            <w:tcW w:w="0" w:type="auto"/>
          </w:tcPr>
          <w:p>
            <w:pPr>
              <w:jc w:val="left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课程培训：加油培训。</w:t>
            </w:r>
          </w:p>
          <w:p>
            <w:pPr>
              <w:jc w:val="left"/>
              <w:rPr>
                <w:rFonts w:hint="eastAsia"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原则上项目学校音体美实际任课老师接受培训，平均每个学校，3人参加加油课程培训。每个学校每学期接受加油课程各</w:t>
            </w:r>
            <w:r>
              <w:rPr>
                <w:rFonts w:hint="eastAsia" w:ascii="微软雅黑" w:hAnsi="微软雅黑" w:eastAsia="微软雅黑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微软雅黑" w:hAnsi="微软雅黑" w:eastAsia="微软雅黑"/>
                <w:sz w:val="24"/>
                <w:szCs w:val="24"/>
              </w:rPr>
              <w:t>次。</w:t>
            </w:r>
          </w:p>
          <w:p>
            <w:pPr>
              <w:jc w:val="left"/>
              <w:rPr>
                <w:rFonts w:hint="eastAsia" w:ascii="微软雅黑" w:hAnsi="微软雅黑" w:eastAsia="微软雅黑"/>
                <w:sz w:val="24"/>
                <w:szCs w:val="24"/>
              </w:rPr>
            </w:pPr>
          </w:p>
        </w:tc>
        <w:tc>
          <w:tcPr>
            <w:tcW w:w="0" w:type="auto"/>
          </w:tcPr>
          <w:p>
            <w:pPr>
              <w:snapToGrid w:val="0"/>
              <w:spacing w:line="0" w:lineRule="atLeast"/>
              <w:jc w:val="left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1.</w:t>
            </w:r>
            <w:r>
              <w:rPr>
                <w:rFonts w:hint="eastAsia" w:ascii="微软雅黑" w:hAnsi="微软雅黑" w:eastAsia="微软雅黑"/>
                <w:sz w:val="24"/>
                <w:szCs w:val="24"/>
                <w:lang w:val="en-US" w:eastAsia="zh-CN"/>
              </w:rPr>
              <w:t>加油</w:t>
            </w:r>
            <w:r>
              <w:rPr>
                <w:rFonts w:hint="eastAsia" w:ascii="微软雅黑" w:hAnsi="微软雅黑" w:eastAsia="微软雅黑"/>
                <w:sz w:val="24"/>
                <w:szCs w:val="24"/>
              </w:rPr>
              <w:t>技术专家（</w:t>
            </w:r>
            <w:r>
              <w:rPr>
                <w:rFonts w:hint="eastAsia" w:ascii="微软雅黑" w:hAnsi="微软雅黑" w:eastAsia="微软雅黑"/>
                <w:sz w:val="24"/>
                <w:szCs w:val="24"/>
                <w:lang w:val="en-US" w:eastAsia="zh-CN"/>
              </w:rPr>
              <w:t>主培训师，</w:t>
            </w:r>
            <w:r>
              <w:rPr>
                <w:rFonts w:hint="eastAsia" w:ascii="微软雅黑" w:hAnsi="微软雅黑" w:eastAsia="微软雅黑"/>
                <w:sz w:val="24"/>
                <w:szCs w:val="24"/>
              </w:rPr>
              <w:t>培训师，培训助理）的劳务费用由中国扶贫基金会（CFPA）统一计划</w:t>
            </w:r>
            <w:r>
              <w:rPr>
                <w:rFonts w:hint="eastAsia" w:ascii="微软雅黑" w:hAnsi="微软雅黑" w:eastAsia="微软雅黑"/>
                <w:sz w:val="24"/>
                <w:szCs w:val="24"/>
                <w:lang w:val="en-US" w:eastAsia="zh-CN"/>
              </w:rPr>
              <w:t>和支付</w:t>
            </w:r>
            <w:r>
              <w:rPr>
                <w:rFonts w:hint="eastAsia" w:ascii="微软雅黑" w:hAnsi="微软雅黑" w:eastAsia="微软雅黑"/>
                <w:sz w:val="24"/>
                <w:szCs w:val="24"/>
              </w:rPr>
              <w:t>，</w:t>
            </w:r>
            <w:r>
              <w:rPr>
                <w:rFonts w:hint="eastAsia" w:ascii="微软雅黑" w:hAnsi="微软雅黑" w:eastAsia="微软雅黑"/>
                <w:sz w:val="24"/>
                <w:szCs w:val="24"/>
                <w:lang w:val="en-US" w:eastAsia="zh-CN"/>
              </w:rPr>
              <w:t>音美技术专家的劳务费用由NGO直接拨付，</w:t>
            </w:r>
            <w:r>
              <w:rPr>
                <w:rFonts w:hint="eastAsia" w:ascii="微软雅黑" w:hAnsi="微软雅黑" w:eastAsia="微软雅黑"/>
                <w:sz w:val="24"/>
                <w:szCs w:val="24"/>
              </w:rPr>
              <w:t>交通与食宿请与参培教师共同预算；</w:t>
            </w:r>
          </w:p>
          <w:p>
            <w:pPr>
              <w:snapToGrid w:val="0"/>
              <w:spacing w:line="0" w:lineRule="atLeast"/>
              <w:jc w:val="left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2.</w:t>
            </w:r>
            <w:r>
              <w:rPr>
                <w:rFonts w:hint="eastAsia" w:ascii="微软雅黑" w:hAnsi="微软雅黑" w:eastAsia="微软雅黑"/>
                <w:sz w:val="24"/>
                <w:szCs w:val="24"/>
                <w:lang w:val="en-US" w:eastAsia="zh-CN"/>
              </w:rPr>
              <w:t>加油附属音美</w:t>
            </w:r>
            <w:r>
              <w:rPr>
                <w:rFonts w:hint="eastAsia" w:ascii="微软雅黑" w:hAnsi="微软雅黑" w:eastAsia="微软雅黑"/>
                <w:sz w:val="24"/>
                <w:szCs w:val="24"/>
              </w:rPr>
              <w:t>课程</w:t>
            </w:r>
            <w:r>
              <w:rPr>
                <w:rFonts w:hint="eastAsia" w:ascii="微软雅黑" w:hAnsi="微软雅黑" w:eastAsia="微软雅黑"/>
                <w:sz w:val="24"/>
                <w:szCs w:val="24"/>
                <w:lang w:val="en-US" w:eastAsia="zh-CN"/>
              </w:rPr>
              <w:t>技术专家</w:t>
            </w:r>
            <w:r>
              <w:rPr>
                <w:rFonts w:hint="eastAsia" w:ascii="微软雅黑" w:hAnsi="微软雅黑" w:eastAsia="微软雅黑"/>
                <w:sz w:val="24"/>
                <w:szCs w:val="24"/>
              </w:rPr>
              <w:t>每程2个班，</w:t>
            </w:r>
            <w:r>
              <w:rPr>
                <w:rFonts w:hint="eastAsia" w:ascii="微软雅黑" w:hAnsi="微软雅黑" w:eastAsia="微软雅黑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微软雅黑" w:hAnsi="微软雅黑" w:eastAsia="微软雅黑"/>
                <w:sz w:val="24"/>
                <w:szCs w:val="24"/>
              </w:rPr>
              <w:t>名</w:t>
            </w:r>
            <w:r>
              <w:rPr>
                <w:rFonts w:hint="eastAsia" w:ascii="微软雅黑" w:hAnsi="微软雅黑" w:eastAsia="微软雅黑"/>
                <w:sz w:val="24"/>
                <w:szCs w:val="24"/>
                <w:lang w:val="en-US" w:eastAsia="zh-CN"/>
              </w:rPr>
              <w:t>音美</w:t>
            </w:r>
            <w:r>
              <w:rPr>
                <w:rFonts w:hint="eastAsia" w:ascii="微软雅黑" w:hAnsi="微软雅黑" w:eastAsia="微软雅黑"/>
                <w:sz w:val="24"/>
                <w:szCs w:val="24"/>
              </w:rPr>
              <w:t>培训师</w:t>
            </w:r>
            <w:r>
              <w:rPr>
                <w:rFonts w:hint="eastAsia" w:ascii="微软雅黑" w:hAnsi="微软雅黑" w:eastAsia="微软雅黑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微软雅黑" w:hAnsi="微软雅黑" w:eastAsia="微软雅黑"/>
                <w:sz w:val="24"/>
                <w:szCs w:val="24"/>
                <w:lang w:val="en-US" w:eastAsia="zh-CN"/>
              </w:rPr>
              <w:t>每名教师劳务为税后1000元/天</w:t>
            </w:r>
            <w:r>
              <w:rPr>
                <w:rFonts w:hint="eastAsia" w:ascii="微软雅黑" w:hAnsi="微软雅黑" w:eastAsia="微软雅黑"/>
                <w:sz w:val="24"/>
                <w:szCs w:val="24"/>
              </w:rPr>
              <w:t>；</w:t>
            </w:r>
          </w:p>
          <w:p>
            <w:pPr>
              <w:snapToGrid w:val="0"/>
              <w:spacing w:line="0" w:lineRule="atLeast"/>
              <w:jc w:val="left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3.平均技术专家往返交通在2500元/人，参培教师</w:t>
            </w:r>
            <w:r>
              <w:rPr>
                <w:rFonts w:hint="eastAsia" w:ascii="微软雅黑" w:hAnsi="微软雅黑" w:eastAsia="微软雅黑"/>
                <w:sz w:val="24"/>
                <w:szCs w:val="24"/>
                <w:lang w:val="en-US" w:eastAsia="zh-CN"/>
              </w:rPr>
              <w:t>平均</w:t>
            </w:r>
            <w:r>
              <w:rPr>
                <w:rFonts w:hint="eastAsia" w:ascii="微软雅黑" w:hAnsi="微软雅黑" w:eastAsia="微软雅黑"/>
                <w:sz w:val="24"/>
                <w:szCs w:val="24"/>
              </w:rPr>
              <w:t>往返交通</w:t>
            </w:r>
            <w:r>
              <w:rPr>
                <w:rFonts w:hint="eastAsia" w:ascii="微软雅黑" w:hAnsi="微软雅黑" w:eastAsia="微软雅黑"/>
                <w:sz w:val="24"/>
                <w:szCs w:val="24"/>
                <w:lang w:val="en-US" w:eastAsia="zh-CN"/>
              </w:rPr>
              <w:t>补助10</w:t>
            </w:r>
            <w:r>
              <w:rPr>
                <w:rFonts w:hint="eastAsia" w:ascii="微软雅黑" w:hAnsi="微软雅黑" w:eastAsia="微软雅黑"/>
                <w:sz w:val="24"/>
                <w:szCs w:val="24"/>
              </w:rPr>
              <w:t>0元，县城餐饮</w:t>
            </w:r>
            <w:r>
              <w:rPr>
                <w:rFonts w:hint="eastAsia" w:ascii="微软雅黑" w:hAnsi="微软雅黑" w:eastAsia="微软雅黑"/>
                <w:sz w:val="24"/>
                <w:szCs w:val="24"/>
                <w:lang w:val="en-US" w:eastAsia="zh-CN"/>
              </w:rPr>
              <w:t>80</w:t>
            </w:r>
            <w:r>
              <w:rPr>
                <w:rFonts w:hint="eastAsia" w:ascii="微软雅黑" w:hAnsi="微软雅黑" w:eastAsia="微软雅黑"/>
                <w:sz w:val="24"/>
                <w:szCs w:val="24"/>
              </w:rPr>
              <w:t>元/人/天，住宿1</w:t>
            </w:r>
            <w:r>
              <w:rPr>
                <w:rFonts w:hint="eastAsia" w:ascii="微软雅黑" w:hAnsi="微软雅黑" w:eastAsia="微软雅黑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微软雅黑" w:hAnsi="微软雅黑" w:eastAsia="微软雅黑"/>
                <w:sz w:val="24"/>
                <w:szCs w:val="24"/>
              </w:rPr>
              <w:t>0元/间（单标同价）技术专家单间为主，参培教师为标间</w:t>
            </w:r>
            <w:r>
              <w:rPr>
                <w:rFonts w:hint="eastAsia" w:ascii="微软雅黑" w:hAnsi="微软雅黑" w:eastAsia="微软雅黑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微软雅黑" w:hAnsi="微软雅黑" w:eastAsia="微软雅黑"/>
                <w:sz w:val="24"/>
                <w:szCs w:val="24"/>
                <w:lang w:val="en-US" w:eastAsia="zh-CN"/>
              </w:rPr>
              <w:t>人身短期意外保险费20/人，每场培训耗材费用3000/场</w:t>
            </w:r>
            <w:r>
              <w:rPr>
                <w:rFonts w:hint="eastAsia" w:ascii="微软雅黑" w:hAnsi="微软雅黑" w:eastAsia="微软雅黑"/>
                <w:sz w:val="24"/>
                <w:szCs w:val="24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131" w:hRule="atLeast"/>
        </w:trPr>
        <w:tc>
          <w:tcPr>
            <w:tcW w:w="0" w:type="auto"/>
            <w:vMerge w:val="continue"/>
          </w:tcPr>
          <w:p>
            <w:pPr>
              <w:ind w:firstLine="480" w:firstLineChars="200"/>
              <w:jc w:val="left"/>
              <w:rPr>
                <w:rFonts w:ascii="微软雅黑" w:hAnsi="微软雅黑" w:eastAsia="微软雅黑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</w:tcPr>
          <w:p>
            <w:pPr>
              <w:ind w:firstLine="480" w:firstLineChars="200"/>
              <w:jc w:val="left"/>
              <w:rPr>
                <w:rFonts w:ascii="微软雅黑" w:hAnsi="微软雅黑" w:eastAsia="微软雅黑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</w:tcPr>
          <w:p>
            <w:pPr>
              <w:jc w:val="left"/>
              <w:rPr>
                <w:rFonts w:hint="default" w:ascii="微软雅黑" w:hAnsi="微软雅黑" w:eastAsia="微软雅黑"/>
                <w:sz w:val="24"/>
                <w:szCs w:val="24"/>
                <w:lang w:val="en-US" w:eastAsia="zh-CN"/>
              </w:rPr>
            </w:pPr>
          </w:p>
        </w:tc>
        <w:tc>
          <w:tcPr>
            <w:tcW w:w="0" w:type="auto"/>
          </w:tcPr>
          <w:p>
            <w:pPr>
              <w:jc w:val="left"/>
              <w:rPr>
                <w:rFonts w:hint="eastAsia" w:ascii="微软雅黑" w:hAnsi="微软雅黑" w:eastAsia="微软雅黑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  <w:lang w:val="en-US" w:eastAsia="zh-CN"/>
              </w:rPr>
              <w:t>加油工具箱采购：</w:t>
            </w:r>
          </w:p>
          <w:p>
            <w:pPr>
              <w:jc w:val="left"/>
              <w:rPr>
                <w:rFonts w:hint="default" w:ascii="微软雅黑" w:hAnsi="微软雅黑" w:eastAsia="微软雅黑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  <w:lang w:val="en-US" w:eastAsia="zh-CN"/>
              </w:rPr>
              <w:t>为每个学校提供3个工具箱</w:t>
            </w:r>
          </w:p>
        </w:tc>
        <w:tc>
          <w:tcPr>
            <w:tcW w:w="0" w:type="auto"/>
          </w:tcPr>
          <w:p>
            <w:pPr>
              <w:snapToGrid w:val="0"/>
              <w:spacing w:line="0" w:lineRule="atLeast"/>
              <w:jc w:val="left"/>
              <w:rPr>
                <w:rFonts w:hint="eastAsia" w:ascii="微软雅黑" w:hAnsi="微软雅黑" w:eastAsia="微软雅黑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  <w:lang w:val="en-US" w:eastAsia="zh-CN"/>
              </w:rPr>
              <w:t>工具箱内容按照CFPA提供的进行采购；</w:t>
            </w:r>
          </w:p>
          <w:p>
            <w:pPr>
              <w:snapToGrid w:val="0"/>
              <w:spacing w:line="0" w:lineRule="atLeast"/>
              <w:jc w:val="left"/>
              <w:rPr>
                <w:rFonts w:hint="default" w:ascii="微软雅黑" w:hAnsi="微软雅黑" w:eastAsia="微软雅黑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  <w:lang w:val="en-US" w:eastAsia="zh-CN"/>
              </w:rPr>
              <w:t>工具箱价格不超过2500元/个。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131" w:hRule="atLeast"/>
        </w:trPr>
        <w:tc>
          <w:tcPr>
            <w:tcW w:w="0" w:type="auto"/>
            <w:vMerge w:val="continue"/>
          </w:tcPr>
          <w:p>
            <w:pPr>
              <w:ind w:firstLine="480" w:firstLineChars="200"/>
              <w:jc w:val="left"/>
              <w:rPr>
                <w:rFonts w:ascii="微软雅黑" w:hAnsi="微软雅黑" w:eastAsia="微软雅黑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</w:tcPr>
          <w:p>
            <w:pPr>
              <w:ind w:firstLine="480" w:firstLineChars="200"/>
              <w:jc w:val="left"/>
              <w:rPr>
                <w:rFonts w:ascii="微软雅黑" w:hAnsi="微软雅黑" w:eastAsia="微软雅黑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</w:tcPr>
          <w:p>
            <w:pPr>
              <w:jc w:val="left"/>
              <w:rPr>
                <w:rFonts w:hint="eastAsia" w:ascii="微软雅黑" w:hAnsi="微软雅黑" w:eastAsia="微软雅黑"/>
                <w:sz w:val="24"/>
                <w:szCs w:val="24"/>
              </w:rPr>
            </w:pPr>
          </w:p>
        </w:tc>
        <w:tc>
          <w:tcPr>
            <w:tcW w:w="0" w:type="auto"/>
          </w:tcPr>
          <w:p>
            <w:pPr>
              <w:jc w:val="left"/>
              <w:rPr>
                <w:rFonts w:hint="eastAsia" w:ascii="微软雅黑" w:hAnsi="微软雅黑" w:eastAsia="微软雅黑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  <w:lang w:val="en-US" w:eastAsia="zh-CN"/>
              </w:rPr>
              <w:t>校内小组活动：</w:t>
            </w:r>
          </w:p>
          <w:p>
            <w:pPr>
              <w:jc w:val="left"/>
              <w:rPr>
                <w:rFonts w:hint="default" w:ascii="微软雅黑" w:hAnsi="微软雅黑" w:eastAsia="微软雅黑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  <w:lang w:val="en-US" w:eastAsia="zh-CN"/>
              </w:rPr>
              <w:t>每校每次活动100元经费，每学期可申请成功4次，项目期内共16次。</w:t>
            </w:r>
          </w:p>
        </w:tc>
        <w:tc>
          <w:tcPr>
            <w:tcW w:w="0" w:type="auto"/>
          </w:tcPr>
          <w:p>
            <w:pPr>
              <w:numPr>
                <w:ilvl w:val="0"/>
                <w:numId w:val="2"/>
              </w:numPr>
              <w:snapToGrid w:val="0"/>
              <w:spacing w:line="0" w:lineRule="atLeast"/>
              <w:jc w:val="left"/>
              <w:rPr>
                <w:rFonts w:hint="eastAsia" w:ascii="微软雅黑" w:hAnsi="微软雅黑" w:eastAsia="微软雅黑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  <w:lang w:val="en-US" w:eastAsia="zh-CN"/>
              </w:rPr>
              <w:t>协助组建校内加油课程教研小组，并记录各小组；</w:t>
            </w:r>
          </w:p>
          <w:p>
            <w:pPr>
              <w:numPr>
                <w:ilvl w:val="0"/>
                <w:numId w:val="2"/>
              </w:numPr>
              <w:snapToGrid w:val="0"/>
              <w:spacing w:line="0" w:lineRule="atLeast"/>
              <w:jc w:val="left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  <w:lang w:val="en-US" w:eastAsia="zh-CN"/>
              </w:rPr>
              <w:t>负责收集小组的教研成果并初步审核，筛选入选教研成果递交CFPA；</w:t>
            </w:r>
          </w:p>
          <w:p>
            <w:pPr>
              <w:numPr>
                <w:ilvl w:val="0"/>
                <w:numId w:val="2"/>
              </w:numPr>
              <w:snapToGrid w:val="0"/>
              <w:spacing w:line="0" w:lineRule="atLeast"/>
              <w:jc w:val="left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  <w:lang w:val="en-US" w:eastAsia="zh-CN"/>
              </w:rPr>
              <w:t>开展教研活动的项目学校可申请教研活动经费，实报实销，上限为100元/次，每学期可申请成功4次。</w:t>
            </w:r>
          </w:p>
          <w:p>
            <w:pPr>
              <w:numPr>
                <w:ilvl w:val="0"/>
                <w:numId w:val="2"/>
              </w:numPr>
              <w:snapToGrid w:val="0"/>
              <w:spacing w:line="0" w:lineRule="atLeast"/>
              <w:jc w:val="left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  <w:lang w:val="en-US" w:eastAsia="zh-CN"/>
              </w:rPr>
              <w:t>根据CFPA对教研成果的评审结果，对最优秀的3所项目学校进行每校1000元的奖励。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131" w:hRule="atLeast"/>
        </w:trPr>
        <w:tc>
          <w:tcPr>
            <w:tcW w:w="0" w:type="auto"/>
            <w:vMerge w:val="continue"/>
          </w:tcPr>
          <w:p>
            <w:pPr>
              <w:ind w:firstLine="480" w:firstLineChars="200"/>
              <w:jc w:val="left"/>
              <w:rPr>
                <w:rFonts w:ascii="微软雅黑" w:hAnsi="微软雅黑" w:eastAsia="微软雅黑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</w:tcPr>
          <w:p>
            <w:pPr>
              <w:ind w:firstLine="480" w:firstLineChars="200"/>
              <w:jc w:val="left"/>
              <w:rPr>
                <w:rFonts w:ascii="微软雅黑" w:hAnsi="微软雅黑" w:eastAsia="微软雅黑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>
            <w:pPr>
              <w:jc w:val="left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项</w:t>
            </w:r>
          </w:p>
          <w:p>
            <w:pPr>
              <w:jc w:val="left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目</w:t>
            </w:r>
          </w:p>
          <w:p>
            <w:pPr>
              <w:jc w:val="left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督</w:t>
            </w:r>
          </w:p>
          <w:p>
            <w:pPr>
              <w:jc w:val="left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导</w:t>
            </w:r>
          </w:p>
          <w:p>
            <w:pPr>
              <w:jc w:val="left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管</w:t>
            </w:r>
          </w:p>
          <w:p>
            <w:pPr>
              <w:jc w:val="left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理</w:t>
            </w:r>
          </w:p>
        </w:tc>
        <w:tc>
          <w:tcPr>
            <w:tcW w:w="0" w:type="auto"/>
          </w:tcPr>
          <w:p>
            <w:pPr>
              <w:jc w:val="left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日常督导：督促项目学校按照要求开展加油课程，每个班级每周开展至少1节，负责收集教练员提供的月度课程开展表格、教案，以及线上线下的疑问解答等。</w:t>
            </w:r>
          </w:p>
        </w:tc>
        <w:tc>
          <w:tcPr>
            <w:tcW w:w="0" w:type="auto"/>
          </w:tcPr>
          <w:p>
            <w:pPr>
              <w:snapToGrid w:val="0"/>
              <w:spacing w:line="0" w:lineRule="atLeast"/>
              <w:jc w:val="left"/>
              <w:rPr>
                <w:rFonts w:ascii="微软雅黑" w:hAnsi="微软雅黑" w:eastAsia="微软雅黑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75" w:hRule="atLeast"/>
        </w:trPr>
        <w:tc>
          <w:tcPr>
            <w:tcW w:w="0" w:type="auto"/>
            <w:vMerge w:val="continue"/>
          </w:tcPr>
          <w:p>
            <w:pPr>
              <w:ind w:firstLine="480" w:firstLineChars="200"/>
              <w:jc w:val="left"/>
              <w:rPr>
                <w:rFonts w:ascii="微软雅黑" w:hAnsi="微软雅黑" w:eastAsia="微软雅黑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</w:tcPr>
          <w:p>
            <w:pPr>
              <w:ind w:firstLine="480" w:firstLineChars="200"/>
              <w:jc w:val="left"/>
              <w:rPr>
                <w:rFonts w:ascii="微软雅黑" w:hAnsi="微软雅黑" w:eastAsia="微软雅黑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</w:tcPr>
          <w:p>
            <w:pPr>
              <w:ind w:firstLine="480" w:firstLineChars="200"/>
              <w:jc w:val="left"/>
              <w:rPr>
                <w:rFonts w:ascii="微软雅黑" w:hAnsi="微软雅黑" w:eastAsia="微软雅黑"/>
                <w:sz w:val="24"/>
                <w:szCs w:val="24"/>
              </w:rPr>
            </w:pPr>
          </w:p>
        </w:tc>
        <w:tc>
          <w:tcPr>
            <w:tcW w:w="0" w:type="auto"/>
          </w:tcPr>
          <w:p>
            <w:pPr>
              <w:jc w:val="left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走访督导：在项目执行期内每学期至少1次对所有负责的学校进行走访和技术督导，了解学校上课进度、课程面临的问题和项目执行效果等，针对项目面临的挑战进行处理，确保项目效果。</w:t>
            </w:r>
          </w:p>
        </w:tc>
        <w:tc>
          <w:tcPr>
            <w:tcW w:w="0" w:type="auto"/>
          </w:tcPr>
          <w:p>
            <w:pPr>
              <w:snapToGrid w:val="0"/>
              <w:spacing w:line="0" w:lineRule="atLeast"/>
              <w:jc w:val="left"/>
              <w:rPr>
                <w:rFonts w:hint="eastAsia" w:ascii="微软雅黑" w:hAnsi="微软雅黑" w:eastAsia="微软雅黑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技术专家（督导师、督导助理）劳务费由扶贫基金会统一计划</w:t>
            </w:r>
            <w:r>
              <w:rPr>
                <w:rFonts w:hint="eastAsia" w:ascii="微软雅黑" w:hAnsi="微软雅黑" w:eastAsia="微软雅黑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微软雅黑" w:hAnsi="微软雅黑" w:eastAsia="微软雅黑"/>
                <w:sz w:val="24"/>
                <w:szCs w:val="24"/>
                <w:lang w:val="en-US" w:eastAsia="zh-CN"/>
              </w:rPr>
              <w:t>技术专家产生的食宿行费用标准参照培训标准；</w:t>
            </w:r>
          </w:p>
          <w:p>
            <w:pPr>
              <w:snapToGrid w:val="0"/>
              <w:spacing w:line="0" w:lineRule="atLeast"/>
              <w:jc w:val="left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  <w:lang w:val="en-US" w:eastAsia="zh-CN"/>
              </w:rPr>
              <w:t>平均每县8个技术专家，</w:t>
            </w:r>
            <w:r>
              <w:rPr>
                <w:rFonts w:hint="eastAsia" w:ascii="微软雅黑" w:hAnsi="微软雅黑" w:eastAsia="微软雅黑"/>
                <w:sz w:val="24"/>
                <w:szCs w:val="24"/>
              </w:rPr>
              <w:t>走访交通平均约</w:t>
            </w:r>
            <w:r>
              <w:rPr>
                <w:rFonts w:hint="eastAsia" w:ascii="微软雅黑" w:hAnsi="微软雅黑" w:eastAsia="微软雅黑"/>
                <w:sz w:val="24"/>
                <w:szCs w:val="24"/>
                <w:lang w:val="en-US" w:eastAsia="zh-CN"/>
              </w:rPr>
              <w:t>12</w:t>
            </w:r>
            <w:r>
              <w:rPr>
                <w:rFonts w:hint="eastAsia" w:ascii="微软雅黑" w:hAnsi="微软雅黑" w:eastAsia="微软雅黑"/>
                <w:sz w:val="24"/>
                <w:szCs w:val="24"/>
              </w:rPr>
              <w:t>00元/天，</w:t>
            </w:r>
            <w:r>
              <w:rPr>
                <w:rFonts w:hint="eastAsia" w:ascii="微软雅黑" w:hAnsi="微软雅黑" w:eastAsia="微软雅黑"/>
                <w:sz w:val="24"/>
                <w:szCs w:val="24"/>
                <w:lang w:val="en-US" w:eastAsia="zh-CN"/>
              </w:rPr>
              <w:t>每天4辆车，</w:t>
            </w:r>
            <w:r>
              <w:rPr>
                <w:rFonts w:hint="eastAsia" w:ascii="微软雅黑" w:hAnsi="微软雅黑" w:eastAsia="微软雅黑"/>
                <w:sz w:val="24"/>
                <w:szCs w:val="24"/>
              </w:rPr>
              <w:t>每天走访1-2所项目学校。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48" w:hRule="atLeast"/>
        </w:trPr>
        <w:tc>
          <w:tcPr>
            <w:tcW w:w="0" w:type="auto"/>
            <w:vMerge w:val="continue"/>
          </w:tcPr>
          <w:p>
            <w:pPr>
              <w:ind w:firstLine="480" w:firstLineChars="200"/>
              <w:jc w:val="left"/>
              <w:rPr>
                <w:rFonts w:ascii="微软雅黑" w:hAnsi="微软雅黑" w:eastAsia="微软雅黑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</w:tcPr>
          <w:p>
            <w:pPr>
              <w:ind w:firstLine="480" w:firstLineChars="200"/>
              <w:jc w:val="left"/>
              <w:rPr>
                <w:rFonts w:ascii="微软雅黑" w:hAnsi="微软雅黑" w:eastAsia="微软雅黑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</w:tcPr>
          <w:p>
            <w:pPr>
              <w:ind w:firstLine="480" w:firstLineChars="200"/>
              <w:jc w:val="left"/>
              <w:rPr>
                <w:rFonts w:ascii="微软雅黑" w:hAnsi="微软雅黑" w:eastAsia="微软雅黑"/>
                <w:sz w:val="24"/>
                <w:szCs w:val="24"/>
              </w:rPr>
            </w:pPr>
          </w:p>
        </w:tc>
        <w:tc>
          <w:tcPr>
            <w:tcW w:w="0" w:type="auto"/>
          </w:tcPr>
          <w:p>
            <w:pPr>
              <w:jc w:val="left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项目干事例会：组织基金会支持的项目学校校长及项目干事每月召开一次：反馈项目进展情况，针对项目出现困难讨论，推动项目顺利开展。</w:t>
            </w:r>
          </w:p>
        </w:tc>
        <w:tc>
          <w:tcPr>
            <w:tcW w:w="0" w:type="auto"/>
          </w:tcPr>
          <w:p>
            <w:pPr>
              <w:snapToGrid w:val="0"/>
              <w:spacing w:line="0" w:lineRule="atLeast"/>
              <w:jc w:val="left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项目学校参加预算相关经费，</w:t>
            </w:r>
            <w:r>
              <w:rPr>
                <w:rFonts w:hint="eastAsia" w:ascii="微软雅黑" w:hAnsi="微软雅黑" w:eastAsia="微软雅黑"/>
                <w:sz w:val="24"/>
                <w:szCs w:val="24"/>
                <w:lang w:val="en-US" w:eastAsia="zh-CN"/>
              </w:rPr>
              <w:t>参训教师</w:t>
            </w:r>
            <w:r>
              <w:rPr>
                <w:rFonts w:hint="eastAsia" w:ascii="微软雅黑" w:hAnsi="微软雅黑" w:eastAsia="微软雅黑"/>
                <w:sz w:val="24"/>
                <w:szCs w:val="24"/>
              </w:rPr>
              <w:t>当地食宿标准参照培训。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63" w:hRule="atLeast"/>
        </w:trPr>
        <w:tc>
          <w:tcPr>
            <w:tcW w:w="0" w:type="auto"/>
            <w:vMerge w:val="restart"/>
          </w:tcPr>
          <w:p>
            <w:pPr>
              <w:jc w:val="left"/>
              <w:rPr>
                <w:rFonts w:ascii="微软雅黑" w:hAnsi="微软雅黑" w:eastAsia="微软雅黑"/>
                <w:b/>
                <w:bCs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vMerge w:val="restart"/>
          </w:tcPr>
          <w:p>
            <w:pPr>
              <w:jc w:val="left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策划、组织专项活动</w:t>
            </w:r>
          </w:p>
        </w:tc>
        <w:tc>
          <w:tcPr>
            <w:tcW w:w="0" w:type="auto"/>
          </w:tcPr>
          <w:p>
            <w:pPr>
              <w:jc w:val="left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加油教练员跨县交流会</w:t>
            </w:r>
          </w:p>
        </w:tc>
        <w:tc>
          <w:tcPr>
            <w:tcW w:w="0" w:type="auto"/>
          </w:tcPr>
          <w:p>
            <w:pPr>
              <w:jc w:val="left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组织项目学校</w:t>
            </w:r>
            <w:r>
              <w:rPr>
                <w:rFonts w:hint="eastAsia" w:ascii="微软雅黑" w:hAnsi="微软雅黑" w:eastAsia="微软雅黑"/>
                <w:sz w:val="24"/>
                <w:szCs w:val="24"/>
                <w:lang w:val="en-US" w:eastAsia="zh-CN"/>
              </w:rPr>
              <w:t>每校1位</w:t>
            </w:r>
            <w:r>
              <w:rPr>
                <w:rFonts w:hint="eastAsia" w:ascii="微软雅黑" w:hAnsi="微软雅黑" w:eastAsia="微软雅黑"/>
                <w:sz w:val="24"/>
                <w:szCs w:val="24"/>
              </w:rPr>
              <w:t>教练员与其他项目区教练员进行</w:t>
            </w:r>
            <w:r>
              <w:rPr>
                <w:rFonts w:hint="eastAsia" w:ascii="微软雅黑" w:hAnsi="微软雅黑" w:eastAsia="微软雅黑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微软雅黑" w:hAnsi="微软雅黑" w:eastAsia="微软雅黑"/>
                <w:sz w:val="24"/>
                <w:szCs w:val="24"/>
              </w:rPr>
              <w:t>天左右的技术交流，不包括来回路程2天。</w:t>
            </w:r>
          </w:p>
        </w:tc>
        <w:tc>
          <w:tcPr>
            <w:tcW w:w="0" w:type="auto"/>
          </w:tcPr>
          <w:p>
            <w:pPr>
              <w:snapToGrid w:val="0"/>
              <w:spacing w:line="0" w:lineRule="atLeast"/>
              <w:jc w:val="left"/>
              <w:rPr>
                <w:rFonts w:hint="eastAsia" w:ascii="微软雅黑" w:hAnsi="微软雅黑" w:eastAsia="微软雅黑"/>
                <w:sz w:val="24"/>
                <w:szCs w:val="24"/>
                <w:lang w:eastAsia="zh-CN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食宿标准参照</w:t>
            </w:r>
            <w:r>
              <w:rPr>
                <w:rFonts w:hint="eastAsia" w:ascii="微软雅黑" w:hAnsi="微软雅黑" w:eastAsia="微软雅黑"/>
                <w:sz w:val="24"/>
                <w:szCs w:val="24"/>
                <w:lang w:val="en-US" w:eastAsia="zh-CN"/>
              </w:rPr>
              <w:t>培训</w:t>
            </w:r>
            <w:r>
              <w:rPr>
                <w:rFonts w:hint="eastAsia" w:ascii="微软雅黑" w:hAnsi="微软雅黑" w:eastAsia="微软雅黑"/>
                <w:sz w:val="24"/>
                <w:szCs w:val="24"/>
              </w:rPr>
              <w:t>食宿标准，长途交通往返费用平均</w:t>
            </w:r>
            <w:r>
              <w:rPr>
                <w:rFonts w:hint="eastAsia" w:ascii="微软雅黑" w:hAnsi="微软雅黑" w:eastAsia="微软雅黑"/>
                <w:sz w:val="24"/>
                <w:szCs w:val="24"/>
                <w:lang w:val="en-US" w:eastAsia="zh-CN"/>
              </w:rPr>
              <w:t>3</w:t>
            </w:r>
            <w:r>
              <w:rPr>
                <w:rFonts w:ascii="微软雅黑" w:hAnsi="微软雅黑" w:eastAsia="微软雅黑"/>
                <w:sz w:val="24"/>
                <w:szCs w:val="24"/>
              </w:rPr>
              <w:t>00</w:t>
            </w:r>
            <w:r>
              <w:rPr>
                <w:rFonts w:hint="eastAsia" w:ascii="微软雅黑" w:hAnsi="微软雅黑" w:eastAsia="微软雅黑"/>
                <w:sz w:val="24"/>
                <w:szCs w:val="24"/>
              </w:rPr>
              <w:t>元每人</w:t>
            </w:r>
            <w:r>
              <w:rPr>
                <w:rFonts w:hint="eastAsia" w:ascii="微软雅黑" w:hAnsi="微软雅黑" w:eastAsia="微软雅黑"/>
                <w:sz w:val="24"/>
                <w:szCs w:val="24"/>
                <w:lang w:eastAsia="zh-CN"/>
              </w:rPr>
              <w:t>；</w:t>
            </w:r>
          </w:p>
          <w:p>
            <w:pPr>
              <w:snapToGrid w:val="0"/>
              <w:spacing w:line="0" w:lineRule="atLeast"/>
              <w:jc w:val="left"/>
              <w:rPr>
                <w:rFonts w:hint="eastAsia" w:ascii="微软雅黑" w:hAnsi="微软雅黑" w:eastAsia="微软雅黑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  <w:lang w:val="en-US" w:eastAsia="zh-CN"/>
              </w:rPr>
              <w:t>加油计划专家1人，食宿行费用标准参照培训；</w:t>
            </w:r>
          </w:p>
          <w:p>
            <w:pPr>
              <w:snapToGrid w:val="0"/>
              <w:spacing w:line="0" w:lineRule="atLeast"/>
              <w:jc w:val="left"/>
              <w:rPr>
                <w:rFonts w:hint="eastAsia" w:ascii="微软雅黑" w:hAnsi="微软雅黑" w:eastAsia="微软雅黑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  <w:lang w:val="en-US" w:eastAsia="zh-CN"/>
              </w:rPr>
              <w:t>交流会举办地点由CFPA另行通知；</w:t>
            </w:r>
          </w:p>
          <w:p>
            <w:pPr>
              <w:snapToGrid w:val="0"/>
              <w:spacing w:line="0" w:lineRule="atLeast"/>
              <w:jc w:val="left"/>
              <w:rPr>
                <w:rFonts w:hint="default" w:ascii="微软雅黑" w:hAnsi="微软雅黑" w:eastAsia="微软雅黑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  <w:lang w:val="en-US" w:eastAsia="zh-CN"/>
              </w:rPr>
              <w:t>耗材3000元/场。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91" w:hRule="atLeast"/>
        </w:trPr>
        <w:tc>
          <w:tcPr>
            <w:tcW w:w="0" w:type="auto"/>
            <w:vMerge w:val="continue"/>
          </w:tcPr>
          <w:p>
            <w:pPr>
              <w:ind w:firstLine="480" w:firstLineChars="200"/>
              <w:jc w:val="left"/>
              <w:rPr>
                <w:rFonts w:ascii="微软雅黑" w:hAnsi="微软雅黑" w:eastAsia="微软雅黑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</w:tcPr>
          <w:p>
            <w:pPr>
              <w:ind w:firstLine="480" w:firstLineChars="200"/>
              <w:jc w:val="left"/>
              <w:rPr>
                <w:rFonts w:ascii="微软雅黑" w:hAnsi="微软雅黑" w:eastAsia="微软雅黑"/>
                <w:sz w:val="24"/>
                <w:szCs w:val="24"/>
              </w:rPr>
            </w:pPr>
          </w:p>
        </w:tc>
        <w:tc>
          <w:tcPr>
            <w:tcW w:w="0" w:type="auto"/>
          </w:tcPr>
          <w:p>
            <w:pPr>
              <w:jc w:val="left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校级加油主题活动</w:t>
            </w:r>
          </w:p>
        </w:tc>
        <w:tc>
          <w:tcPr>
            <w:tcW w:w="0" w:type="auto"/>
          </w:tcPr>
          <w:p>
            <w:pPr>
              <w:jc w:val="left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学校每年6月1日开展一次校级“加油系列主题活动”，形式不限，如：加油运动会、加油绘画比赛、加油演讲比赛等。</w:t>
            </w:r>
          </w:p>
        </w:tc>
        <w:tc>
          <w:tcPr>
            <w:tcW w:w="0" w:type="auto"/>
          </w:tcPr>
          <w:p>
            <w:pPr>
              <w:snapToGrid w:val="0"/>
              <w:spacing w:line="0" w:lineRule="atLeast"/>
              <w:jc w:val="left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项目学校参加预算相关经费，建议每所学校不超过</w:t>
            </w:r>
            <w:r>
              <w:rPr>
                <w:rFonts w:ascii="微软雅黑" w:hAnsi="微软雅黑" w:eastAsia="微软雅黑"/>
                <w:sz w:val="24"/>
                <w:szCs w:val="24"/>
              </w:rPr>
              <w:t>1</w:t>
            </w:r>
            <w:r>
              <w:rPr>
                <w:rFonts w:hint="eastAsia" w:ascii="微软雅黑" w:hAnsi="微软雅黑" w:eastAsia="微软雅黑"/>
                <w:sz w:val="24"/>
                <w:szCs w:val="24"/>
                <w:lang w:val="en-US" w:eastAsia="zh-CN"/>
              </w:rPr>
              <w:t>5</w:t>
            </w:r>
            <w:r>
              <w:rPr>
                <w:rFonts w:ascii="微软雅黑" w:hAnsi="微软雅黑" w:eastAsia="微软雅黑"/>
                <w:sz w:val="24"/>
                <w:szCs w:val="24"/>
              </w:rPr>
              <w:t>00</w:t>
            </w:r>
            <w:r>
              <w:rPr>
                <w:rFonts w:hint="eastAsia" w:ascii="微软雅黑" w:hAnsi="微软雅黑" w:eastAsia="微软雅黑"/>
                <w:sz w:val="24"/>
                <w:szCs w:val="24"/>
              </w:rPr>
              <w:t>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79" w:hRule="atLeast"/>
        </w:trPr>
        <w:tc>
          <w:tcPr>
            <w:tcW w:w="0" w:type="auto"/>
            <w:vMerge w:val="continue"/>
          </w:tcPr>
          <w:p>
            <w:pPr>
              <w:ind w:firstLine="480" w:firstLineChars="200"/>
              <w:jc w:val="left"/>
              <w:rPr>
                <w:rFonts w:ascii="微软雅黑" w:hAnsi="微软雅黑" w:eastAsia="微软雅黑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</w:tcPr>
          <w:p>
            <w:pPr>
              <w:ind w:firstLine="480" w:firstLineChars="200"/>
              <w:jc w:val="left"/>
              <w:rPr>
                <w:rFonts w:ascii="微软雅黑" w:hAnsi="微软雅黑" w:eastAsia="微软雅黑"/>
                <w:sz w:val="24"/>
                <w:szCs w:val="24"/>
              </w:rPr>
            </w:pPr>
          </w:p>
        </w:tc>
        <w:tc>
          <w:tcPr>
            <w:tcW w:w="0" w:type="auto"/>
          </w:tcPr>
          <w:p>
            <w:pPr>
              <w:jc w:val="left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项目县加油年度总结会</w:t>
            </w:r>
          </w:p>
        </w:tc>
        <w:tc>
          <w:tcPr>
            <w:tcW w:w="0" w:type="auto"/>
          </w:tcPr>
          <w:p>
            <w:pPr>
              <w:jc w:val="left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以县为单位组织教育局、教师等参加为期半天的项目总结研讨会，探索项目挑战、收获和发展。</w:t>
            </w:r>
          </w:p>
        </w:tc>
        <w:tc>
          <w:tcPr>
            <w:tcW w:w="0" w:type="auto"/>
          </w:tcPr>
          <w:p>
            <w:pPr>
              <w:snapToGrid w:val="0"/>
              <w:spacing w:line="0" w:lineRule="atLeast"/>
              <w:jc w:val="left"/>
              <w:rPr>
                <w:rFonts w:hint="eastAsia" w:ascii="微软雅黑" w:hAnsi="微软雅黑" w:eastAsia="微软雅黑"/>
                <w:sz w:val="24"/>
                <w:szCs w:val="24"/>
                <w:lang w:eastAsia="zh-CN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  <w:lang w:val="en-US" w:eastAsia="zh-CN"/>
              </w:rPr>
              <w:t>加油技术专家2人，</w:t>
            </w:r>
            <w:r>
              <w:rPr>
                <w:rFonts w:hint="eastAsia" w:ascii="微软雅黑" w:hAnsi="微软雅黑" w:eastAsia="微软雅黑"/>
                <w:sz w:val="24"/>
                <w:szCs w:val="24"/>
              </w:rPr>
              <w:t>项目学校的校长、项目干事、加油教练员参加总结会</w:t>
            </w:r>
            <w:r>
              <w:rPr>
                <w:rFonts w:hint="eastAsia" w:ascii="微软雅黑" w:hAnsi="微软雅黑" w:eastAsia="微软雅黑"/>
                <w:sz w:val="24"/>
                <w:szCs w:val="24"/>
                <w:lang w:eastAsia="zh-CN"/>
              </w:rPr>
              <w:t>；</w:t>
            </w:r>
          </w:p>
          <w:p>
            <w:pPr>
              <w:snapToGrid w:val="0"/>
              <w:spacing w:line="0" w:lineRule="atLeast"/>
              <w:jc w:val="left"/>
              <w:rPr>
                <w:rFonts w:hint="eastAsia" w:ascii="微软雅黑" w:hAnsi="微软雅黑" w:eastAsia="微软雅黑"/>
                <w:sz w:val="24"/>
                <w:szCs w:val="24"/>
                <w:lang w:eastAsia="zh-CN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食宿及交通标准参照培训</w:t>
            </w:r>
            <w:r>
              <w:rPr>
                <w:rFonts w:hint="eastAsia" w:ascii="微软雅黑" w:hAnsi="微软雅黑" w:eastAsia="微软雅黑"/>
                <w:sz w:val="24"/>
                <w:szCs w:val="24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79" w:hRule="atLeast"/>
        </w:trPr>
        <w:tc>
          <w:tcPr>
            <w:tcW w:w="0" w:type="auto"/>
            <w:vMerge w:val="continue"/>
          </w:tcPr>
          <w:p>
            <w:pPr>
              <w:ind w:firstLine="480" w:firstLineChars="200"/>
              <w:jc w:val="left"/>
              <w:rPr>
                <w:rFonts w:ascii="微软雅黑" w:hAnsi="微软雅黑" w:eastAsia="微软雅黑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</w:tcPr>
          <w:p>
            <w:pPr>
              <w:ind w:firstLine="480" w:firstLineChars="200"/>
              <w:jc w:val="left"/>
              <w:rPr>
                <w:rFonts w:ascii="微软雅黑" w:hAnsi="微软雅黑" w:eastAsia="微软雅黑"/>
                <w:sz w:val="24"/>
                <w:szCs w:val="24"/>
              </w:rPr>
            </w:pPr>
          </w:p>
        </w:tc>
        <w:tc>
          <w:tcPr>
            <w:tcW w:w="0" w:type="auto"/>
          </w:tcPr>
          <w:p>
            <w:pPr>
              <w:jc w:val="left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活动微信稿</w:t>
            </w:r>
          </w:p>
        </w:tc>
        <w:tc>
          <w:tcPr>
            <w:tcW w:w="0" w:type="auto"/>
          </w:tcPr>
          <w:p>
            <w:pPr>
              <w:jc w:val="left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项目重大活动时需提交活动微信稿至基金会用于项目宣传，每年至少10篇（培训8篇，专项活动4篇）</w:t>
            </w:r>
          </w:p>
        </w:tc>
        <w:tc>
          <w:tcPr>
            <w:tcW w:w="0" w:type="auto"/>
          </w:tcPr>
          <w:p>
            <w:pPr>
              <w:ind w:firstLine="480" w:firstLineChars="200"/>
              <w:jc w:val="left"/>
              <w:rPr>
                <w:rFonts w:ascii="微软雅黑" w:hAnsi="微软雅黑" w:eastAsia="微软雅黑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21" w:hRule="atLeast"/>
        </w:trPr>
        <w:tc>
          <w:tcPr>
            <w:tcW w:w="0" w:type="auto"/>
          </w:tcPr>
          <w:p>
            <w:pPr>
              <w:jc w:val="left"/>
              <w:rPr>
                <w:rFonts w:ascii="微软雅黑" w:hAnsi="微软雅黑" w:eastAsia="微软雅黑"/>
                <w:b/>
                <w:bCs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>
            <w:pPr>
              <w:jc w:val="left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项目品牌传播</w:t>
            </w:r>
          </w:p>
        </w:tc>
        <w:tc>
          <w:tcPr>
            <w:tcW w:w="0" w:type="auto"/>
          </w:tcPr>
          <w:p>
            <w:pPr>
              <w:jc w:val="left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传播素材收集</w:t>
            </w:r>
          </w:p>
        </w:tc>
        <w:tc>
          <w:tcPr>
            <w:tcW w:w="0" w:type="auto"/>
          </w:tcPr>
          <w:p>
            <w:pPr>
              <w:jc w:val="left"/>
              <w:rPr>
                <w:rFonts w:hint="eastAsia" w:ascii="微软雅黑" w:hAnsi="微软雅黑" w:eastAsia="微软雅黑"/>
                <w:sz w:val="24"/>
                <w:szCs w:val="24"/>
                <w:lang w:eastAsia="zh-CN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配合基金会完成项目进展季报数据、素材的收集，项目期间至少</w:t>
            </w:r>
            <w:r>
              <w:rPr>
                <w:rFonts w:ascii="微软雅黑" w:hAnsi="微软雅黑" w:eastAsia="微软雅黑"/>
                <w:sz w:val="24"/>
                <w:szCs w:val="24"/>
              </w:rPr>
              <w:t>7</w:t>
            </w:r>
            <w:r>
              <w:rPr>
                <w:rFonts w:hint="eastAsia" w:ascii="微软雅黑" w:hAnsi="微软雅黑" w:eastAsia="微软雅黑"/>
                <w:sz w:val="24"/>
                <w:szCs w:val="24"/>
              </w:rPr>
              <w:t>次（季报4次，探访2次</w:t>
            </w:r>
            <w:r>
              <w:rPr>
                <w:rFonts w:hint="eastAsia" w:ascii="微软雅黑" w:hAnsi="微软雅黑" w:eastAsia="微软雅黑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0" w:type="auto"/>
          </w:tcPr>
          <w:p>
            <w:pPr>
              <w:ind w:firstLine="480" w:firstLineChars="200"/>
              <w:jc w:val="left"/>
              <w:rPr>
                <w:rFonts w:ascii="微软雅黑" w:hAnsi="微软雅黑" w:eastAsia="微软雅黑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21" w:hRule="atLeast"/>
        </w:trPr>
        <w:tc>
          <w:tcPr>
            <w:tcW w:w="0" w:type="auto"/>
          </w:tcPr>
          <w:p>
            <w:pPr>
              <w:jc w:val="left"/>
              <w:rPr>
                <w:rFonts w:hint="eastAsia" w:ascii="微软雅黑" w:hAnsi="微软雅黑" w:eastAsia="微软雅黑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b/>
                <w:bCs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0" w:type="auto"/>
          </w:tcPr>
          <w:p>
            <w:pPr>
              <w:jc w:val="left"/>
              <w:rPr>
                <w:rFonts w:hint="default" w:ascii="微软雅黑" w:hAnsi="微软雅黑" w:eastAsia="微软雅黑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  <w:lang w:val="en-US" w:eastAsia="zh-CN"/>
              </w:rPr>
              <w:t>项目一般管理</w:t>
            </w:r>
          </w:p>
        </w:tc>
        <w:tc>
          <w:tcPr>
            <w:tcW w:w="0" w:type="auto"/>
          </w:tcPr>
          <w:p>
            <w:pPr>
              <w:jc w:val="left"/>
              <w:rPr>
                <w:rFonts w:hint="default" w:ascii="微软雅黑" w:hAnsi="微软雅黑" w:eastAsia="微软雅黑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  <w:lang w:val="en-US" w:eastAsia="zh-CN"/>
              </w:rPr>
              <w:t>驻点人员</w:t>
            </w:r>
          </w:p>
        </w:tc>
        <w:tc>
          <w:tcPr>
            <w:tcW w:w="0" w:type="auto"/>
          </w:tcPr>
          <w:p>
            <w:pPr>
              <w:jc w:val="left"/>
              <w:rPr>
                <w:rFonts w:hint="default" w:ascii="微软雅黑" w:hAnsi="微软雅黑" w:eastAsia="微软雅黑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  <w:lang w:val="en-US" w:eastAsia="zh-CN"/>
              </w:rPr>
              <w:t>需派遣一位工作人员长期驻点</w:t>
            </w:r>
          </w:p>
        </w:tc>
        <w:tc>
          <w:tcPr>
            <w:tcW w:w="0" w:type="auto"/>
          </w:tcPr>
          <w:p>
            <w:pPr>
              <w:ind w:firstLine="480" w:firstLineChars="200"/>
              <w:jc w:val="left"/>
              <w:rPr>
                <w:rFonts w:ascii="微软雅黑" w:hAnsi="微软雅黑" w:eastAsia="微软雅黑"/>
                <w:sz w:val="24"/>
                <w:szCs w:val="24"/>
              </w:rPr>
            </w:pPr>
          </w:p>
        </w:tc>
      </w:tr>
    </w:tbl>
    <w:p>
      <w:pPr>
        <w:ind w:firstLine="480" w:firstLineChars="200"/>
        <w:jc w:val="left"/>
        <w:rPr>
          <w:rFonts w:ascii="微软雅黑" w:hAnsi="微软雅黑" w:eastAsia="微软雅黑"/>
          <w:sz w:val="24"/>
          <w:szCs w:val="24"/>
        </w:rPr>
      </w:pPr>
    </w:p>
    <w:p>
      <w:pPr>
        <w:ind w:firstLine="480" w:firstLineChars="200"/>
        <w:jc w:val="left"/>
        <w:rPr>
          <w:rFonts w:ascii="微软雅黑" w:hAnsi="微软雅黑" w:eastAsia="微软雅黑"/>
          <w:sz w:val="24"/>
          <w:szCs w:val="24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3F1D637"/>
    <w:multiLevelType w:val="singleLevel"/>
    <w:tmpl w:val="A3F1D637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3AFB7669"/>
    <w:multiLevelType w:val="multilevel"/>
    <w:tmpl w:val="3AFB7669"/>
    <w:lvl w:ilvl="0" w:tentative="0">
      <w:start w:val="1"/>
      <w:numFmt w:val="decimal"/>
      <w:lvlText w:val="%1、"/>
      <w:lvlJc w:val="left"/>
      <w:pPr>
        <w:tabs>
          <w:tab w:val="left" w:pos="720"/>
        </w:tabs>
        <w:ind w:left="720" w:hanging="720"/>
      </w:pPr>
      <w:rPr>
        <w:rFonts w:ascii="宋体" w:hAnsi="宋体" w:cs="宋体" w:eastAsiaTheme="minorEastAsia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72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72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72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72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72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72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72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CB2"/>
    <w:rsid w:val="00022E0A"/>
    <w:rsid w:val="00177FE8"/>
    <w:rsid w:val="001B6D5F"/>
    <w:rsid w:val="002643BA"/>
    <w:rsid w:val="003A5ADD"/>
    <w:rsid w:val="004337B8"/>
    <w:rsid w:val="004859DC"/>
    <w:rsid w:val="00617414"/>
    <w:rsid w:val="006A1E74"/>
    <w:rsid w:val="006B6EE0"/>
    <w:rsid w:val="00716406"/>
    <w:rsid w:val="007E639C"/>
    <w:rsid w:val="00831F0F"/>
    <w:rsid w:val="00A427D1"/>
    <w:rsid w:val="00AA29C4"/>
    <w:rsid w:val="00AA7CB2"/>
    <w:rsid w:val="00BA6CCA"/>
    <w:rsid w:val="00C100CE"/>
    <w:rsid w:val="00C77B42"/>
    <w:rsid w:val="00CC78D8"/>
    <w:rsid w:val="00E079A7"/>
    <w:rsid w:val="00E30365"/>
    <w:rsid w:val="00E7252C"/>
    <w:rsid w:val="00FD107F"/>
    <w:rsid w:val="03C51A5B"/>
    <w:rsid w:val="09AF7D8A"/>
    <w:rsid w:val="0D473C06"/>
    <w:rsid w:val="0D9A3839"/>
    <w:rsid w:val="0ED74731"/>
    <w:rsid w:val="1D2C0DF5"/>
    <w:rsid w:val="1F52368F"/>
    <w:rsid w:val="1FC678E2"/>
    <w:rsid w:val="22D64051"/>
    <w:rsid w:val="255311C5"/>
    <w:rsid w:val="285E68B2"/>
    <w:rsid w:val="28E92FE4"/>
    <w:rsid w:val="2CAB4A77"/>
    <w:rsid w:val="30BD430F"/>
    <w:rsid w:val="3161759E"/>
    <w:rsid w:val="33BC0142"/>
    <w:rsid w:val="377A0631"/>
    <w:rsid w:val="3D896A49"/>
    <w:rsid w:val="3F472D0F"/>
    <w:rsid w:val="48AB79BB"/>
    <w:rsid w:val="4C876A4F"/>
    <w:rsid w:val="4E2A1CF1"/>
    <w:rsid w:val="51E1722D"/>
    <w:rsid w:val="5791323E"/>
    <w:rsid w:val="601C78B3"/>
    <w:rsid w:val="603102B1"/>
    <w:rsid w:val="623607F8"/>
    <w:rsid w:val="629A0FBB"/>
    <w:rsid w:val="6325734A"/>
    <w:rsid w:val="68183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7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5"/>
    <w:link w:val="2"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464</Words>
  <Characters>2651</Characters>
  <Lines>22</Lines>
  <Paragraphs>6</Paragraphs>
  <TotalTime>7</TotalTime>
  <ScaleCrop>false</ScaleCrop>
  <LinksUpToDate>false</LinksUpToDate>
  <CharactersWithSpaces>3109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2018-06-29T09:02:00Z</dcterms:created>
  <dc:creator>77924</dc:creator>
  <cp:lastModifiedBy>ys</cp:lastModifiedBy>
  <cp:lastPrinted>2019-08-16T08:02:00Z</cp:lastPrinted>
  <dcterms:modified xsi:type="dcterms:W3CDTF">2020-06-23T06:01:58Z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